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46B" w:rsidRDefault="004D146B" w:rsidP="004D146B">
      <w:pPr>
        <w:pStyle w:val="Heading1"/>
        <w:spacing w:before="0" w:after="0"/>
        <w:contextualSpacing/>
      </w:pPr>
      <w:bookmarkStart w:id="0" w:name="_Toc332195691"/>
      <w:r>
        <w:t>Appendix S</w:t>
      </w:r>
      <w:r w:rsidR="00A92633">
        <w:t>2</w:t>
      </w:r>
      <w:bookmarkStart w:id="1" w:name="_GoBack"/>
      <w:bookmarkEnd w:id="1"/>
      <w:r>
        <w:t>: Systematic search protocol</w:t>
      </w:r>
      <w:bookmarkEnd w:id="0"/>
    </w:p>
    <w:p w:rsidR="00BB4C68" w:rsidRPr="00BB4C68" w:rsidRDefault="00BB4C68" w:rsidP="00BB4C68">
      <w:pPr>
        <w:rPr>
          <w:lang w:val="en-AU"/>
        </w:rPr>
      </w:pPr>
    </w:p>
    <w:p w:rsidR="004D146B" w:rsidRDefault="004D146B" w:rsidP="004D146B">
      <w:pPr>
        <w:spacing w:after="0"/>
        <w:contextualSpacing/>
        <w:rPr>
          <w:rFonts w:asciiTheme="minorHAnsi" w:hAnsiTheme="minorHAnsi" w:cstheme="minorHAnsi"/>
          <w:lang w:val="en-GB"/>
        </w:rPr>
      </w:pPr>
      <w:r w:rsidRPr="000A0DC9">
        <w:rPr>
          <w:rFonts w:asciiTheme="minorHAnsi" w:hAnsiTheme="minorHAnsi" w:cstheme="minorHAnsi"/>
        </w:rPr>
        <w:t>Systematic reviews were conducted in 3</w:t>
      </w:r>
      <w:r w:rsidRPr="000A0DC9">
        <w:rPr>
          <w:rFonts w:asciiTheme="minorHAnsi" w:hAnsiTheme="minorHAnsi" w:cstheme="minorHAnsi"/>
          <w:lang w:val="en-GB"/>
        </w:rPr>
        <w:t xml:space="preserve"> stages: searches of the peer-reviewed literature; searches for supplementary data described in key documents, online sources and the grey literature; and requests to mental health experts for additional material. </w:t>
      </w:r>
    </w:p>
    <w:p w:rsidR="004D146B" w:rsidRDefault="004D146B" w:rsidP="004D146B">
      <w:pPr>
        <w:pStyle w:val="ListParagraph"/>
        <w:spacing w:after="0"/>
        <w:ind w:left="0"/>
        <w:rPr>
          <w:b/>
        </w:rPr>
      </w:pPr>
    </w:p>
    <w:p w:rsidR="004D146B" w:rsidRDefault="004D146B" w:rsidP="004D146B">
      <w:pPr>
        <w:pStyle w:val="ListParagraph"/>
        <w:spacing w:after="0"/>
        <w:ind w:left="0"/>
        <w:rPr>
          <w:rFonts w:asciiTheme="minorHAnsi" w:hAnsiTheme="minorHAnsi" w:cstheme="minorHAnsi"/>
          <w:b/>
        </w:rPr>
      </w:pPr>
      <w:r>
        <w:rPr>
          <w:b/>
        </w:rPr>
        <w:t xml:space="preserve">4.1 </w:t>
      </w:r>
      <w:r w:rsidRPr="00641868">
        <w:rPr>
          <w:rFonts w:asciiTheme="minorHAnsi" w:hAnsiTheme="minorHAnsi" w:cstheme="minorHAnsi"/>
          <w:b/>
        </w:rPr>
        <w:t>Summary of inclusion criteria</w:t>
      </w:r>
      <w:r>
        <w:rPr>
          <w:rFonts w:asciiTheme="minorHAnsi" w:hAnsiTheme="minorHAnsi" w:cstheme="minorHAnsi"/>
          <w:b/>
        </w:rPr>
        <w:t xml:space="preserve"> for </w:t>
      </w:r>
      <w:proofErr w:type="gramStart"/>
      <w:r>
        <w:rPr>
          <w:rFonts w:asciiTheme="minorHAnsi" w:hAnsiTheme="minorHAnsi" w:cstheme="minorHAnsi"/>
          <w:b/>
        </w:rPr>
        <w:t>studies</w:t>
      </w:r>
      <w:r w:rsidRPr="00641868">
        <w:rPr>
          <w:rFonts w:asciiTheme="minorHAnsi" w:hAnsiTheme="minorHAnsi" w:cstheme="minorHAnsi"/>
          <w:b/>
        </w:rPr>
        <w:t xml:space="preserve"> </w:t>
      </w:r>
      <w:r>
        <w:rPr>
          <w:rFonts w:asciiTheme="minorHAnsi" w:hAnsiTheme="minorHAnsi" w:cstheme="minorHAnsi"/>
          <w:b/>
        </w:rPr>
        <w:t>:</w:t>
      </w:r>
      <w:proofErr w:type="gramEnd"/>
    </w:p>
    <w:p w:rsidR="004D146B" w:rsidRDefault="004D146B" w:rsidP="004D146B">
      <w:pPr>
        <w:spacing w:after="0"/>
        <w:contextualSpacing/>
        <w:rPr>
          <w:rFonts w:asciiTheme="minorHAnsi" w:hAnsiTheme="minorHAnsi" w:cstheme="minorHAnsi"/>
          <w:b/>
        </w:rPr>
      </w:pPr>
    </w:p>
    <w:p w:rsidR="004D146B" w:rsidRDefault="004D146B" w:rsidP="004D146B">
      <w:pPr>
        <w:spacing w:after="0"/>
        <w:contextualSpacing/>
        <w:rPr>
          <w:rFonts w:asciiTheme="minorHAnsi" w:hAnsiTheme="minorHAnsi" w:cstheme="minorHAnsi"/>
          <w:b/>
        </w:rPr>
      </w:pPr>
      <w:r w:rsidRPr="000A0DC9">
        <w:rPr>
          <w:rFonts w:asciiTheme="minorHAnsi" w:hAnsiTheme="minorHAnsi" w:cstheme="minorHAnsi"/>
          <w:b/>
        </w:rPr>
        <w:t xml:space="preserve">For all </w:t>
      </w:r>
      <w:r>
        <w:rPr>
          <w:rFonts w:asciiTheme="minorHAnsi" w:hAnsiTheme="minorHAnsi" w:cstheme="minorHAnsi"/>
          <w:b/>
        </w:rPr>
        <w:t xml:space="preserve">parameters, inclusion criteria required that: </w:t>
      </w:r>
    </w:p>
    <w:p w:rsidR="004D146B" w:rsidRPr="00641868" w:rsidRDefault="004D146B" w:rsidP="004D146B">
      <w:pPr>
        <w:pStyle w:val="ListParagraph"/>
        <w:spacing w:after="0"/>
        <w:ind w:left="777"/>
        <w:rPr>
          <w:rFonts w:asciiTheme="minorHAnsi" w:hAnsiTheme="minorHAnsi" w:cstheme="minorHAnsi"/>
          <w:b/>
        </w:rPr>
      </w:pPr>
    </w:p>
    <w:p w:rsidR="004D146B" w:rsidRPr="00641868" w:rsidRDefault="004D146B" w:rsidP="004D146B">
      <w:pPr>
        <w:pStyle w:val="ListParagraph"/>
        <w:numPr>
          <w:ilvl w:val="0"/>
          <w:numId w:val="2"/>
        </w:numPr>
        <w:spacing w:after="0"/>
        <w:rPr>
          <w:rFonts w:asciiTheme="minorHAnsi" w:hAnsiTheme="minorHAnsi" w:cstheme="minorHAnsi"/>
        </w:rPr>
      </w:pPr>
      <w:r>
        <w:rPr>
          <w:rFonts w:asciiTheme="minorHAnsi" w:hAnsiTheme="minorHAnsi" w:cstheme="minorHAnsi"/>
        </w:rPr>
        <w:t>S</w:t>
      </w:r>
      <w:r w:rsidRPr="00641868">
        <w:rPr>
          <w:rFonts w:asciiTheme="minorHAnsi" w:hAnsiTheme="minorHAnsi" w:cstheme="minorHAnsi"/>
        </w:rPr>
        <w:t xml:space="preserve">ampling frames </w:t>
      </w:r>
      <w:r>
        <w:rPr>
          <w:rFonts w:asciiTheme="minorHAnsi" w:hAnsiTheme="minorHAnsi" w:cstheme="minorHAnsi"/>
        </w:rPr>
        <w:t>we</w:t>
      </w:r>
      <w:r w:rsidRPr="00641868">
        <w:rPr>
          <w:rFonts w:asciiTheme="minorHAnsi" w:hAnsiTheme="minorHAnsi" w:cstheme="minorHAnsi"/>
        </w:rPr>
        <w:t xml:space="preserve">re </w:t>
      </w:r>
      <w:r>
        <w:rPr>
          <w:rFonts w:asciiTheme="minorHAnsi" w:hAnsiTheme="minorHAnsi" w:cstheme="minorHAnsi"/>
        </w:rPr>
        <w:t xml:space="preserve">representative of the community, such that it could reasonably be assumed that estimates reflect the population; </w:t>
      </w:r>
    </w:p>
    <w:p w:rsidR="004D146B" w:rsidRPr="00641868" w:rsidRDefault="004D146B" w:rsidP="004D146B">
      <w:pPr>
        <w:pStyle w:val="ListParagraph"/>
        <w:numPr>
          <w:ilvl w:val="0"/>
          <w:numId w:val="2"/>
        </w:numPr>
        <w:spacing w:after="0"/>
        <w:rPr>
          <w:rFonts w:asciiTheme="minorHAnsi" w:hAnsiTheme="minorHAnsi" w:cstheme="minorHAnsi"/>
        </w:rPr>
      </w:pPr>
      <w:r w:rsidRPr="00641868">
        <w:rPr>
          <w:rFonts w:asciiTheme="minorHAnsi" w:hAnsiTheme="minorHAnsi" w:cstheme="minorHAnsi"/>
        </w:rPr>
        <w:t>‘</w:t>
      </w:r>
      <w:proofErr w:type="spellStart"/>
      <w:r w:rsidRPr="00641868">
        <w:rPr>
          <w:rFonts w:asciiTheme="minorHAnsi" w:hAnsiTheme="minorHAnsi" w:cstheme="minorHAnsi"/>
        </w:rPr>
        <w:t>Caseness</w:t>
      </w:r>
      <w:proofErr w:type="spellEnd"/>
      <w:r w:rsidRPr="00641868">
        <w:rPr>
          <w:rFonts w:asciiTheme="minorHAnsi" w:hAnsiTheme="minorHAnsi" w:cstheme="minorHAnsi"/>
        </w:rPr>
        <w:t xml:space="preserve">’ </w:t>
      </w:r>
      <w:r>
        <w:rPr>
          <w:rFonts w:asciiTheme="minorHAnsi" w:hAnsiTheme="minorHAnsi" w:cstheme="minorHAnsi"/>
        </w:rPr>
        <w:t xml:space="preserve">was </w:t>
      </w:r>
      <w:r w:rsidRPr="00641868">
        <w:rPr>
          <w:rFonts w:asciiTheme="minorHAnsi" w:hAnsiTheme="minorHAnsi" w:cstheme="minorHAnsi"/>
        </w:rPr>
        <w:t>based on internationally recognized diagnostic criteria (DSM or ICD);</w:t>
      </w:r>
    </w:p>
    <w:p w:rsidR="004D146B" w:rsidRPr="00641868" w:rsidRDefault="004D146B" w:rsidP="004D146B">
      <w:pPr>
        <w:pStyle w:val="ListParagraph"/>
        <w:numPr>
          <w:ilvl w:val="0"/>
          <w:numId w:val="2"/>
        </w:numPr>
        <w:spacing w:after="0"/>
        <w:rPr>
          <w:rFonts w:asciiTheme="minorHAnsi" w:hAnsiTheme="minorHAnsi" w:cstheme="minorHAnsi"/>
        </w:rPr>
      </w:pPr>
      <w:r w:rsidRPr="00641868">
        <w:rPr>
          <w:rFonts w:asciiTheme="minorHAnsi" w:hAnsiTheme="minorHAnsi" w:cstheme="minorHAnsi"/>
        </w:rPr>
        <w:t>Disorders</w:t>
      </w:r>
      <w:r>
        <w:rPr>
          <w:rFonts w:asciiTheme="minorHAnsi" w:hAnsiTheme="minorHAnsi" w:cstheme="minorHAnsi"/>
        </w:rPr>
        <w:t xml:space="preserve"> were</w:t>
      </w:r>
      <w:r w:rsidRPr="00641868">
        <w:rPr>
          <w:rFonts w:asciiTheme="minorHAnsi" w:hAnsiTheme="minorHAnsi" w:cstheme="minorHAnsi"/>
        </w:rPr>
        <w:t xml:space="preserve"> defined as per categories required for GBD estimates</w:t>
      </w:r>
      <w:r>
        <w:rPr>
          <w:rFonts w:asciiTheme="minorHAnsi" w:hAnsiTheme="minorHAnsi" w:cstheme="minorHAnsi"/>
        </w:rPr>
        <w:t xml:space="preserve">, in the case of depression for example, separate estimates were required for </w:t>
      </w:r>
      <w:r w:rsidRPr="00641868">
        <w:rPr>
          <w:rFonts w:asciiTheme="minorHAnsi" w:hAnsiTheme="minorHAnsi" w:cstheme="minorHAnsi"/>
        </w:rPr>
        <w:t xml:space="preserve">MDD </w:t>
      </w:r>
      <w:r>
        <w:rPr>
          <w:rFonts w:asciiTheme="minorHAnsi" w:hAnsiTheme="minorHAnsi" w:cstheme="minorHAnsi"/>
        </w:rPr>
        <w:t>and for</w:t>
      </w:r>
      <w:r w:rsidRPr="00641868">
        <w:rPr>
          <w:rFonts w:asciiTheme="minorHAnsi" w:hAnsiTheme="minorHAnsi" w:cstheme="minorHAnsi"/>
        </w:rPr>
        <w:t xml:space="preserve"> dysthymia</w:t>
      </w:r>
      <w:r>
        <w:rPr>
          <w:rFonts w:asciiTheme="minorHAnsi" w:hAnsiTheme="minorHAnsi" w:cstheme="minorHAnsi"/>
        </w:rPr>
        <w:t xml:space="preserve"> while estimates for anxiety disorder must be for ‘any’ anxiety disorder</w:t>
      </w:r>
      <w:r w:rsidRPr="00641868">
        <w:rPr>
          <w:rFonts w:asciiTheme="minorHAnsi" w:hAnsiTheme="minorHAnsi" w:cstheme="minorHAnsi"/>
        </w:rPr>
        <w:t>;</w:t>
      </w:r>
    </w:p>
    <w:p w:rsidR="004D146B" w:rsidRPr="00641868" w:rsidRDefault="004D146B" w:rsidP="004D146B">
      <w:pPr>
        <w:pStyle w:val="ListParagraph"/>
        <w:numPr>
          <w:ilvl w:val="0"/>
          <w:numId w:val="2"/>
        </w:numPr>
        <w:spacing w:after="0"/>
        <w:rPr>
          <w:rFonts w:asciiTheme="minorHAnsi" w:hAnsiTheme="minorHAnsi" w:cstheme="minorHAnsi"/>
        </w:rPr>
      </w:pPr>
      <w:r>
        <w:rPr>
          <w:rFonts w:asciiTheme="minorHAnsi" w:hAnsiTheme="minorHAnsi" w:cstheme="minorHAnsi"/>
        </w:rPr>
        <w:t>Data were</w:t>
      </w:r>
      <w:r w:rsidRPr="00641868">
        <w:rPr>
          <w:rFonts w:asciiTheme="minorHAnsi" w:hAnsiTheme="minorHAnsi" w:cstheme="minorHAnsi"/>
        </w:rPr>
        <w:t xml:space="preserve"> obtained through primary data sources (i.e. not secondary sources such as a review article);</w:t>
      </w:r>
    </w:p>
    <w:p w:rsidR="004D146B" w:rsidRPr="00641868" w:rsidRDefault="004D146B" w:rsidP="004D146B">
      <w:pPr>
        <w:pStyle w:val="ListParagraph"/>
        <w:numPr>
          <w:ilvl w:val="0"/>
          <w:numId w:val="2"/>
        </w:numPr>
        <w:spacing w:after="0"/>
        <w:rPr>
          <w:rFonts w:asciiTheme="minorHAnsi" w:hAnsiTheme="minorHAnsi" w:cstheme="minorHAnsi"/>
        </w:rPr>
      </w:pPr>
      <w:r w:rsidRPr="00641868">
        <w:rPr>
          <w:rFonts w:asciiTheme="minorHAnsi" w:hAnsiTheme="minorHAnsi" w:cstheme="minorHAnsi"/>
        </w:rPr>
        <w:t xml:space="preserve">Sufficient information </w:t>
      </w:r>
      <w:r>
        <w:rPr>
          <w:rFonts w:asciiTheme="minorHAnsi" w:hAnsiTheme="minorHAnsi" w:cstheme="minorHAnsi"/>
        </w:rPr>
        <w:t xml:space="preserve">were </w:t>
      </w:r>
      <w:r w:rsidRPr="00641868">
        <w:rPr>
          <w:rFonts w:asciiTheme="minorHAnsi" w:hAnsiTheme="minorHAnsi" w:cstheme="minorHAnsi"/>
        </w:rPr>
        <w:t>provided on study method and sample characteristics;</w:t>
      </w:r>
    </w:p>
    <w:p w:rsidR="004D146B" w:rsidRPr="00641868" w:rsidRDefault="004D146B" w:rsidP="004D146B">
      <w:pPr>
        <w:pStyle w:val="ListParagraph"/>
        <w:numPr>
          <w:ilvl w:val="0"/>
          <w:numId w:val="2"/>
        </w:numPr>
        <w:spacing w:after="0"/>
        <w:rPr>
          <w:rFonts w:asciiTheme="minorHAnsi" w:hAnsiTheme="minorHAnsi" w:cstheme="minorHAnsi"/>
        </w:rPr>
      </w:pPr>
      <w:r w:rsidRPr="00641868">
        <w:rPr>
          <w:rFonts w:asciiTheme="minorHAnsi" w:hAnsiTheme="minorHAnsi" w:cstheme="minorHAnsi"/>
        </w:rPr>
        <w:t>No limitations on language of publication.</w:t>
      </w:r>
    </w:p>
    <w:p w:rsidR="004D146B" w:rsidRPr="00641868" w:rsidRDefault="004D146B" w:rsidP="004D146B">
      <w:pPr>
        <w:pStyle w:val="ListParagraph"/>
        <w:spacing w:after="0"/>
        <w:rPr>
          <w:rFonts w:asciiTheme="minorHAnsi" w:hAnsiTheme="minorHAnsi" w:cstheme="minorHAnsi"/>
        </w:rPr>
      </w:pPr>
    </w:p>
    <w:p w:rsidR="004D146B" w:rsidRPr="00641868" w:rsidRDefault="004D146B" w:rsidP="004D146B">
      <w:pPr>
        <w:pStyle w:val="ListParagraph"/>
        <w:spacing w:after="0"/>
        <w:ind w:left="777"/>
        <w:rPr>
          <w:rFonts w:asciiTheme="minorHAnsi" w:hAnsiTheme="minorHAnsi" w:cstheme="minorHAnsi"/>
          <w:b/>
        </w:rPr>
      </w:pPr>
      <w:r w:rsidRPr="00641868">
        <w:rPr>
          <w:rFonts w:asciiTheme="minorHAnsi" w:hAnsiTheme="minorHAnsi" w:cstheme="minorHAnsi"/>
          <w:b/>
        </w:rPr>
        <w:t xml:space="preserve">Prevalence and incidence studies – </w:t>
      </w:r>
    </w:p>
    <w:p w:rsidR="004D146B" w:rsidRPr="00641868" w:rsidRDefault="004D146B" w:rsidP="004D146B">
      <w:pPr>
        <w:pStyle w:val="ListParagraph"/>
        <w:spacing w:after="0"/>
        <w:ind w:left="777"/>
        <w:rPr>
          <w:rFonts w:asciiTheme="minorHAnsi" w:hAnsiTheme="minorHAnsi" w:cstheme="minorHAnsi"/>
          <w:b/>
        </w:rPr>
      </w:pPr>
    </w:p>
    <w:p w:rsidR="004D146B" w:rsidRPr="00641868" w:rsidRDefault="004D146B" w:rsidP="004D146B">
      <w:pPr>
        <w:pStyle w:val="ListParagraph"/>
        <w:numPr>
          <w:ilvl w:val="0"/>
          <w:numId w:val="3"/>
        </w:numPr>
        <w:spacing w:after="0"/>
        <w:ind w:hanging="428"/>
        <w:rPr>
          <w:rFonts w:asciiTheme="minorHAnsi" w:hAnsiTheme="minorHAnsi" w:cstheme="minorHAnsi"/>
        </w:rPr>
      </w:pPr>
      <w:r w:rsidRPr="00641868">
        <w:rPr>
          <w:rFonts w:asciiTheme="minorHAnsi" w:hAnsiTheme="minorHAnsi" w:cstheme="minorHAnsi"/>
        </w:rPr>
        <w:t xml:space="preserve">Prevalence </w:t>
      </w:r>
      <w:r>
        <w:rPr>
          <w:rFonts w:asciiTheme="minorHAnsi" w:hAnsiTheme="minorHAnsi" w:cstheme="minorHAnsi"/>
        </w:rPr>
        <w:t xml:space="preserve">data must be based on estimates for </w:t>
      </w:r>
      <w:r w:rsidRPr="00641868">
        <w:rPr>
          <w:rFonts w:asciiTheme="minorHAnsi" w:hAnsiTheme="minorHAnsi" w:cstheme="minorHAnsi"/>
        </w:rPr>
        <w:t>current (point or past month) or past-year</w:t>
      </w:r>
      <w:r>
        <w:rPr>
          <w:rFonts w:asciiTheme="minorHAnsi" w:hAnsiTheme="minorHAnsi" w:cstheme="minorHAnsi"/>
        </w:rPr>
        <w:t xml:space="preserve"> prevalence:  estimates of lifetime preval</w:t>
      </w:r>
      <w:r w:rsidRPr="00641868">
        <w:rPr>
          <w:rFonts w:asciiTheme="minorHAnsi" w:hAnsiTheme="minorHAnsi" w:cstheme="minorHAnsi"/>
        </w:rPr>
        <w:t>ence</w:t>
      </w:r>
      <w:r>
        <w:rPr>
          <w:rFonts w:asciiTheme="minorHAnsi" w:hAnsiTheme="minorHAnsi" w:cstheme="minorHAnsi"/>
        </w:rPr>
        <w:t xml:space="preserve"> were</w:t>
      </w:r>
      <w:r w:rsidRPr="00641868">
        <w:rPr>
          <w:rFonts w:asciiTheme="minorHAnsi" w:hAnsiTheme="minorHAnsi" w:cstheme="minorHAnsi"/>
        </w:rPr>
        <w:t xml:space="preserve"> not included;</w:t>
      </w:r>
    </w:p>
    <w:p w:rsidR="004D146B" w:rsidRDefault="004D146B" w:rsidP="004D146B">
      <w:pPr>
        <w:pStyle w:val="ListParagraph"/>
        <w:numPr>
          <w:ilvl w:val="0"/>
          <w:numId w:val="3"/>
        </w:numPr>
        <w:spacing w:after="0"/>
        <w:ind w:hanging="428"/>
        <w:rPr>
          <w:rFonts w:asciiTheme="minorHAnsi" w:hAnsiTheme="minorHAnsi" w:cstheme="minorHAnsi"/>
        </w:rPr>
      </w:pPr>
      <w:r>
        <w:rPr>
          <w:rFonts w:asciiTheme="minorHAnsi" w:hAnsiTheme="minorHAnsi" w:cstheme="minorHAnsi"/>
        </w:rPr>
        <w:t>Incidence data must reflect a</w:t>
      </w:r>
      <w:r w:rsidRPr="00641868">
        <w:rPr>
          <w:rFonts w:asciiTheme="minorHAnsi" w:hAnsiTheme="minorHAnsi" w:cstheme="minorHAnsi"/>
        </w:rPr>
        <w:t>nnual incidence rate</w:t>
      </w:r>
      <w:r>
        <w:rPr>
          <w:rFonts w:asciiTheme="minorHAnsi" w:hAnsiTheme="minorHAnsi" w:cstheme="minorHAnsi"/>
        </w:rPr>
        <w:t>s or at least provide sufficient data (i.e. person-years) so that annual incidence could be calculated;</w:t>
      </w:r>
    </w:p>
    <w:p w:rsidR="004D146B" w:rsidRPr="00641868" w:rsidRDefault="004D146B" w:rsidP="004D146B">
      <w:pPr>
        <w:pStyle w:val="ListParagraph"/>
        <w:numPr>
          <w:ilvl w:val="0"/>
          <w:numId w:val="3"/>
        </w:numPr>
        <w:spacing w:after="0"/>
        <w:ind w:hanging="428"/>
        <w:rPr>
          <w:rFonts w:asciiTheme="minorHAnsi" w:hAnsiTheme="minorHAnsi" w:cstheme="minorHAnsi"/>
        </w:rPr>
      </w:pPr>
      <w:r>
        <w:rPr>
          <w:rFonts w:asciiTheme="minorHAnsi" w:hAnsiTheme="minorHAnsi" w:cstheme="minorHAnsi"/>
        </w:rPr>
        <w:t>Incidence studies were prospective cohort or longitudinal studies.</w:t>
      </w:r>
    </w:p>
    <w:p w:rsidR="004D146B" w:rsidRPr="00641868" w:rsidRDefault="004D146B" w:rsidP="004D146B">
      <w:pPr>
        <w:pStyle w:val="ListParagraph"/>
        <w:spacing w:after="0"/>
        <w:ind w:left="777"/>
        <w:rPr>
          <w:rFonts w:asciiTheme="minorHAnsi" w:hAnsiTheme="minorHAnsi" w:cstheme="minorHAnsi"/>
        </w:rPr>
      </w:pPr>
    </w:p>
    <w:p w:rsidR="004D146B" w:rsidRPr="00641868" w:rsidRDefault="004D146B" w:rsidP="004D146B">
      <w:pPr>
        <w:pStyle w:val="ListParagraph"/>
        <w:spacing w:after="0"/>
        <w:ind w:left="777"/>
        <w:rPr>
          <w:rFonts w:asciiTheme="minorHAnsi" w:hAnsiTheme="minorHAnsi" w:cstheme="minorHAnsi"/>
          <w:b/>
        </w:rPr>
      </w:pPr>
      <w:r w:rsidRPr="00641868">
        <w:rPr>
          <w:rFonts w:asciiTheme="minorHAnsi" w:hAnsiTheme="minorHAnsi" w:cstheme="minorHAnsi"/>
          <w:b/>
        </w:rPr>
        <w:t xml:space="preserve">Remission and mortality studies -  </w:t>
      </w:r>
    </w:p>
    <w:p w:rsidR="004D146B" w:rsidRPr="00641868" w:rsidRDefault="004D146B" w:rsidP="004D146B">
      <w:pPr>
        <w:pStyle w:val="ListParagraph"/>
        <w:spacing w:after="0"/>
        <w:ind w:left="777"/>
        <w:rPr>
          <w:rFonts w:asciiTheme="minorHAnsi" w:hAnsiTheme="minorHAnsi" w:cstheme="minorHAnsi"/>
        </w:rPr>
      </w:pPr>
      <w:r>
        <w:rPr>
          <w:rFonts w:asciiTheme="minorHAnsi" w:hAnsiTheme="minorHAnsi" w:cstheme="minorHAnsi"/>
        </w:rPr>
        <w:t xml:space="preserve">  </w:t>
      </w:r>
    </w:p>
    <w:p w:rsidR="004D146B" w:rsidRPr="00641868" w:rsidRDefault="004D146B" w:rsidP="004D146B">
      <w:pPr>
        <w:pStyle w:val="ListParagraph"/>
        <w:numPr>
          <w:ilvl w:val="0"/>
          <w:numId w:val="2"/>
        </w:numPr>
        <w:spacing w:after="0"/>
        <w:ind w:left="1134" w:hanging="425"/>
        <w:rPr>
          <w:rFonts w:asciiTheme="minorHAnsi" w:hAnsiTheme="minorHAnsi" w:cstheme="minorHAnsi"/>
        </w:rPr>
      </w:pPr>
      <w:r w:rsidRPr="00641868">
        <w:rPr>
          <w:rFonts w:asciiTheme="minorHAnsi" w:hAnsiTheme="minorHAnsi" w:cstheme="minorHAnsi"/>
        </w:rPr>
        <w:t>Longitudinal follow-up must be naturalistic (</w:t>
      </w:r>
      <w:proofErr w:type="spellStart"/>
      <w:r w:rsidRPr="00641868">
        <w:rPr>
          <w:rFonts w:asciiTheme="minorHAnsi" w:hAnsiTheme="minorHAnsi" w:cstheme="minorHAnsi"/>
        </w:rPr>
        <w:t>ie</w:t>
      </w:r>
      <w:proofErr w:type="spellEnd"/>
      <w:r w:rsidRPr="00641868">
        <w:rPr>
          <w:rFonts w:asciiTheme="minorHAnsi" w:hAnsiTheme="minorHAnsi" w:cstheme="minorHAnsi"/>
        </w:rPr>
        <w:t>. no specific intervention  during follow-up period);</w:t>
      </w:r>
    </w:p>
    <w:p w:rsidR="004D146B" w:rsidRPr="00641868" w:rsidRDefault="004D146B" w:rsidP="004D146B">
      <w:pPr>
        <w:pStyle w:val="ListParagraph"/>
        <w:numPr>
          <w:ilvl w:val="0"/>
          <w:numId w:val="2"/>
        </w:numPr>
        <w:spacing w:after="0"/>
        <w:ind w:left="1134" w:hanging="425"/>
        <w:rPr>
          <w:rFonts w:asciiTheme="minorHAnsi" w:hAnsiTheme="minorHAnsi" w:cstheme="minorHAnsi"/>
          <w:lang w:val="en-AU"/>
        </w:rPr>
      </w:pPr>
      <w:r w:rsidRPr="00641868">
        <w:rPr>
          <w:rFonts w:asciiTheme="minorHAnsi" w:hAnsiTheme="minorHAnsi" w:cstheme="minorHAnsi"/>
        </w:rPr>
        <w:t xml:space="preserve">Remission is defined as </w:t>
      </w:r>
      <w:r w:rsidRPr="00641868">
        <w:rPr>
          <w:rFonts w:asciiTheme="minorHAnsi" w:hAnsiTheme="minorHAnsi" w:cstheme="minorHAnsi"/>
          <w:i/>
        </w:rPr>
        <w:t>no longer fulfilling the diagnostic criteria for the disorder</w:t>
      </w:r>
      <w:r w:rsidRPr="00641868">
        <w:rPr>
          <w:rFonts w:asciiTheme="minorHAnsi" w:hAnsiTheme="minorHAnsi" w:cstheme="minorHAnsi"/>
        </w:rPr>
        <w:t>;</w:t>
      </w:r>
    </w:p>
    <w:p w:rsidR="004D146B" w:rsidRPr="00641868" w:rsidRDefault="004D146B" w:rsidP="004D146B">
      <w:pPr>
        <w:pStyle w:val="ListParagraph"/>
        <w:numPr>
          <w:ilvl w:val="0"/>
          <w:numId w:val="2"/>
        </w:numPr>
        <w:spacing w:after="0"/>
        <w:ind w:left="1134" w:hanging="425"/>
        <w:rPr>
          <w:rFonts w:asciiTheme="minorHAnsi" w:hAnsiTheme="minorHAnsi" w:cstheme="minorHAnsi"/>
          <w:lang w:val="en-AU"/>
        </w:rPr>
      </w:pPr>
      <w:r w:rsidRPr="00641868">
        <w:rPr>
          <w:rFonts w:asciiTheme="minorHAnsi" w:hAnsiTheme="minorHAnsi" w:cstheme="minorHAnsi"/>
        </w:rPr>
        <w:t>The follow-up period must be at least 2 years;</w:t>
      </w:r>
    </w:p>
    <w:p w:rsidR="004D146B" w:rsidRPr="00641868" w:rsidRDefault="004D146B" w:rsidP="004D146B">
      <w:pPr>
        <w:pStyle w:val="ListParagraph"/>
        <w:numPr>
          <w:ilvl w:val="0"/>
          <w:numId w:val="2"/>
        </w:numPr>
        <w:spacing w:after="0"/>
        <w:ind w:left="1134" w:hanging="425"/>
        <w:rPr>
          <w:rFonts w:asciiTheme="minorHAnsi" w:hAnsiTheme="minorHAnsi" w:cstheme="minorHAnsi"/>
          <w:lang w:val="en-AU"/>
        </w:rPr>
      </w:pPr>
      <w:r w:rsidRPr="00641868">
        <w:rPr>
          <w:rFonts w:asciiTheme="minorHAnsi" w:hAnsiTheme="minorHAnsi" w:cstheme="minorHAnsi"/>
        </w:rPr>
        <w:t xml:space="preserve">Case studies and studies that involved specific treatment trials were excluded;  </w:t>
      </w:r>
    </w:p>
    <w:p w:rsidR="004D146B" w:rsidRPr="00641868" w:rsidRDefault="004D146B" w:rsidP="004D146B">
      <w:pPr>
        <w:pStyle w:val="ListParagraph"/>
        <w:numPr>
          <w:ilvl w:val="0"/>
          <w:numId w:val="2"/>
        </w:numPr>
        <w:spacing w:after="0"/>
        <w:ind w:left="1134" w:hanging="425"/>
        <w:rPr>
          <w:rFonts w:asciiTheme="minorHAnsi" w:hAnsiTheme="minorHAnsi" w:cstheme="minorHAnsi"/>
        </w:rPr>
      </w:pPr>
      <w:r w:rsidRPr="00641868">
        <w:rPr>
          <w:rFonts w:asciiTheme="minorHAnsi" w:hAnsiTheme="minorHAnsi" w:cstheme="minorHAnsi"/>
        </w:rPr>
        <w:t xml:space="preserve">Mortality estimates </w:t>
      </w:r>
      <w:r>
        <w:rPr>
          <w:rFonts w:asciiTheme="minorHAnsi" w:hAnsiTheme="minorHAnsi" w:cstheme="minorHAnsi"/>
        </w:rPr>
        <w:t xml:space="preserve">reflected </w:t>
      </w:r>
      <w:r w:rsidRPr="00641868">
        <w:rPr>
          <w:rFonts w:asciiTheme="minorHAnsi" w:hAnsiTheme="minorHAnsi" w:cstheme="minorHAnsi"/>
        </w:rPr>
        <w:t xml:space="preserve"> </w:t>
      </w:r>
      <w:r w:rsidRPr="000A0DC9">
        <w:rPr>
          <w:rFonts w:asciiTheme="minorHAnsi" w:hAnsiTheme="minorHAnsi" w:cstheme="minorHAnsi"/>
          <w:u w:val="single"/>
        </w:rPr>
        <w:t>all-cause</w:t>
      </w:r>
      <w:r w:rsidRPr="00641868">
        <w:rPr>
          <w:rFonts w:asciiTheme="minorHAnsi" w:hAnsiTheme="minorHAnsi" w:cstheme="minorHAnsi"/>
        </w:rPr>
        <w:t xml:space="preserve"> mortality;</w:t>
      </w:r>
    </w:p>
    <w:p w:rsidR="004D146B" w:rsidRPr="00641868" w:rsidRDefault="004D146B" w:rsidP="004D146B">
      <w:pPr>
        <w:pStyle w:val="ListParagraph"/>
        <w:numPr>
          <w:ilvl w:val="0"/>
          <w:numId w:val="2"/>
        </w:numPr>
        <w:spacing w:after="0"/>
        <w:ind w:left="1134" w:hanging="425"/>
        <w:rPr>
          <w:rFonts w:asciiTheme="minorHAnsi" w:hAnsiTheme="minorHAnsi" w:cstheme="minorHAnsi"/>
        </w:rPr>
      </w:pPr>
      <w:r w:rsidRPr="00641868">
        <w:rPr>
          <w:rFonts w:asciiTheme="minorHAnsi" w:hAnsiTheme="minorHAnsi" w:cstheme="minorHAnsi"/>
        </w:rPr>
        <w:t xml:space="preserve">Studies </w:t>
      </w:r>
      <w:r>
        <w:rPr>
          <w:rFonts w:asciiTheme="minorHAnsi" w:hAnsiTheme="minorHAnsi" w:cstheme="minorHAnsi"/>
        </w:rPr>
        <w:t>were</w:t>
      </w:r>
      <w:r w:rsidRPr="00641868">
        <w:rPr>
          <w:rFonts w:asciiTheme="minorHAnsi" w:hAnsiTheme="minorHAnsi" w:cstheme="minorHAnsi"/>
        </w:rPr>
        <w:t xml:space="preserve"> observational and analytic: case studies or treatment trials</w:t>
      </w:r>
      <w:r>
        <w:rPr>
          <w:rFonts w:asciiTheme="minorHAnsi" w:hAnsiTheme="minorHAnsi" w:cstheme="minorHAnsi"/>
        </w:rPr>
        <w:t xml:space="preserve"> we</w:t>
      </w:r>
      <w:r w:rsidRPr="00641868">
        <w:rPr>
          <w:rFonts w:asciiTheme="minorHAnsi" w:hAnsiTheme="minorHAnsi" w:cstheme="minorHAnsi"/>
        </w:rPr>
        <w:t>re excluded;</w:t>
      </w:r>
    </w:p>
    <w:p w:rsidR="004D146B" w:rsidRPr="00641868" w:rsidRDefault="004D146B" w:rsidP="004D146B">
      <w:pPr>
        <w:pStyle w:val="ListParagraph"/>
        <w:numPr>
          <w:ilvl w:val="0"/>
          <w:numId w:val="2"/>
        </w:numPr>
        <w:spacing w:after="0"/>
        <w:ind w:left="1134" w:hanging="425"/>
        <w:rPr>
          <w:rFonts w:asciiTheme="minorHAnsi" w:hAnsiTheme="minorHAnsi" w:cstheme="minorHAnsi"/>
        </w:rPr>
      </w:pPr>
      <w:r w:rsidRPr="00641868">
        <w:rPr>
          <w:rFonts w:asciiTheme="minorHAnsi" w:hAnsiTheme="minorHAnsi" w:cstheme="minorHAnsi"/>
        </w:rPr>
        <w:t xml:space="preserve">Psychological autopsy studies </w:t>
      </w:r>
      <w:r>
        <w:rPr>
          <w:rFonts w:asciiTheme="minorHAnsi" w:hAnsiTheme="minorHAnsi" w:cstheme="minorHAnsi"/>
        </w:rPr>
        <w:t>we</w:t>
      </w:r>
      <w:r w:rsidRPr="00641868">
        <w:rPr>
          <w:rFonts w:asciiTheme="minorHAnsi" w:hAnsiTheme="minorHAnsi" w:cstheme="minorHAnsi"/>
        </w:rPr>
        <w:t>re excluded.</w:t>
      </w:r>
    </w:p>
    <w:p w:rsidR="004D146B" w:rsidRDefault="004D146B" w:rsidP="004D146B">
      <w:pPr>
        <w:pStyle w:val="ListParagraph"/>
        <w:spacing w:after="0"/>
        <w:ind w:left="777"/>
        <w:rPr>
          <w:rFonts w:asciiTheme="minorHAnsi" w:hAnsiTheme="minorHAnsi" w:cstheme="minorHAnsi"/>
        </w:rPr>
      </w:pPr>
    </w:p>
    <w:p w:rsidR="004D146B" w:rsidRDefault="004D146B" w:rsidP="004D146B">
      <w:pPr>
        <w:spacing w:after="0"/>
        <w:contextualSpacing/>
      </w:pPr>
    </w:p>
    <w:p w:rsidR="004D146B" w:rsidRDefault="004D146B" w:rsidP="004D146B">
      <w:pPr>
        <w:spacing w:after="0"/>
        <w:contextualSpacing/>
        <w:jc w:val="both"/>
        <w:rPr>
          <w:rFonts w:asciiTheme="minorHAnsi" w:hAnsiTheme="minorHAnsi" w:cstheme="minorHAnsi"/>
          <w:b/>
          <w:bCs/>
          <w:lang w:val="en-AU"/>
        </w:rPr>
      </w:pPr>
      <w:proofErr w:type="gramStart"/>
      <w:r>
        <w:rPr>
          <w:rFonts w:asciiTheme="minorHAnsi" w:hAnsiTheme="minorHAnsi" w:cstheme="minorHAnsi"/>
          <w:b/>
          <w:bCs/>
          <w:lang w:val="en-AU"/>
        </w:rPr>
        <w:t xml:space="preserve">4.2  </w:t>
      </w:r>
      <w:r w:rsidRPr="000A0DC9">
        <w:rPr>
          <w:rFonts w:asciiTheme="minorHAnsi" w:hAnsiTheme="minorHAnsi" w:cstheme="minorHAnsi"/>
          <w:b/>
          <w:bCs/>
          <w:lang w:val="en-AU"/>
        </w:rPr>
        <w:t>Peer</w:t>
      </w:r>
      <w:proofErr w:type="gramEnd"/>
      <w:r w:rsidRPr="000A0DC9">
        <w:rPr>
          <w:rFonts w:asciiTheme="minorHAnsi" w:hAnsiTheme="minorHAnsi" w:cstheme="minorHAnsi"/>
          <w:b/>
          <w:bCs/>
          <w:lang w:val="en-AU"/>
        </w:rPr>
        <w:t>-reviewed literature database search</w:t>
      </w:r>
    </w:p>
    <w:p w:rsidR="004D146B" w:rsidRDefault="004D146B" w:rsidP="004D146B">
      <w:pPr>
        <w:spacing w:after="0"/>
        <w:contextualSpacing/>
        <w:jc w:val="both"/>
        <w:rPr>
          <w:rFonts w:asciiTheme="minorHAnsi" w:hAnsiTheme="minorHAnsi" w:cstheme="minorHAnsi"/>
          <w:b/>
          <w:bCs/>
          <w:lang w:val="en-AU"/>
        </w:rPr>
      </w:pPr>
    </w:p>
    <w:p w:rsidR="004D146B" w:rsidRDefault="004D146B" w:rsidP="004D146B">
      <w:pPr>
        <w:spacing w:after="0"/>
        <w:contextualSpacing/>
        <w:jc w:val="both"/>
        <w:rPr>
          <w:rFonts w:cs="Calibri"/>
        </w:rPr>
      </w:pPr>
      <w:r w:rsidRPr="003367AF">
        <w:rPr>
          <w:rFonts w:cs="Calibri"/>
        </w:rPr>
        <w:t xml:space="preserve">A broad search string was developed with the assistance of a research librarian to search relevant electronic databases (Medline, </w:t>
      </w:r>
      <w:proofErr w:type="spellStart"/>
      <w:r w:rsidRPr="003367AF">
        <w:rPr>
          <w:rFonts w:cs="Calibri"/>
        </w:rPr>
        <w:t>PsycINFO</w:t>
      </w:r>
      <w:proofErr w:type="spellEnd"/>
      <w:r w:rsidRPr="003367AF">
        <w:rPr>
          <w:rFonts w:cs="Calibri"/>
        </w:rPr>
        <w:t xml:space="preserve"> and EMBASE) and included both the broad term</w:t>
      </w:r>
      <w:r>
        <w:rPr>
          <w:rFonts w:cs="Calibri"/>
        </w:rPr>
        <w:t xml:space="preserve">, for </w:t>
      </w:r>
      <w:r>
        <w:rPr>
          <w:rFonts w:cs="Calibri"/>
        </w:rPr>
        <w:lastRenderedPageBreak/>
        <w:t>example in the case of anxiety disorders:</w:t>
      </w:r>
      <w:r w:rsidRPr="003367AF">
        <w:rPr>
          <w:rFonts w:cs="Calibri"/>
        </w:rPr>
        <w:t xml:space="preserve"> ‘anxiety disorders’ and specific anxiety disorders AND </w:t>
      </w:r>
      <w:proofErr w:type="spellStart"/>
      <w:r w:rsidRPr="003367AF">
        <w:rPr>
          <w:rFonts w:cs="Calibri"/>
        </w:rPr>
        <w:t>epidemiolog</w:t>
      </w:r>
      <w:proofErr w:type="spellEnd"/>
      <w:r w:rsidRPr="003367AF">
        <w:rPr>
          <w:rFonts w:cs="Calibri"/>
        </w:rPr>
        <w:t xml:space="preserve">* OR </w:t>
      </w:r>
      <w:proofErr w:type="spellStart"/>
      <w:r w:rsidRPr="003367AF">
        <w:rPr>
          <w:rFonts w:cs="Calibri"/>
        </w:rPr>
        <w:t>prevalen</w:t>
      </w:r>
      <w:proofErr w:type="spellEnd"/>
      <w:r w:rsidRPr="003367AF">
        <w:rPr>
          <w:rFonts w:cs="Calibri"/>
        </w:rPr>
        <w:t xml:space="preserve">*. </w:t>
      </w:r>
      <w:r>
        <w:rPr>
          <w:rFonts w:cs="Calibri"/>
        </w:rPr>
        <w:t xml:space="preserve">Searches </w:t>
      </w:r>
      <w:r w:rsidRPr="003367AF">
        <w:rPr>
          <w:rFonts w:cs="Calibri"/>
        </w:rPr>
        <w:t>were limited to ‘human’ studies published between 1980 and 200</w:t>
      </w:r>
      <w:r>
        <w:rPr>
          <w:rFonts w:cs="Calibri"/>
        </w:rPr>
        <w:t>8</w:t>
      </w:r>
      <w:r w:rsidRPr="003367AF">
        <w:rPr>
          <w:rFonts w:cs="Calibri"/>
        </w:rPr>
        <w:t xml:space="preserve">. No limitations were set on language of publication. </w:t>
      </w:r>
      <w:r>
        <w:rPr>
          <w:rFonts w:cs="Calibri"/>
        </w:rPr>
        <w:t xml:space="preserve">The broad search criteria elicited a huge number of articles, the </w:t>
      </w:r>
      <w:proofErr w:type="gramStart"/>
      <w:r>
        <w:rPr>
          <w:rFonts w:cs="Calibri"/>
        </w:rPr>
        <w:t>title of each were</w:t>
      </w:r>
      <w:proofErr w:type="gramEnd"/>
      <w:r>
        <w:rPr>
          <w:rFonts w:cs="Calibri"/>
        </w:rPr>
        <w:t xml:space="preserve"> reviewed and those that were of potential value were downloaded into an Endnote database for further review. </w:t>
      </w:r>
    </w:p>
    <w:p w:rsidR="004D146B" w:rsidRDefault="004D146B" w:rsidP="004D146B">
      <w:pPr>
        <w:spacing w:after="0"/>
        <w:contextualSpacing/>
        <w:jc w:val="both"/>
        <w:rPr>
          <w:rFonts w:cs="Calibri"/>
        </w:rPr>
      </w:pPr>
    </w:p>
    <w:p w:rsidR="004D146B" w:rsidRDefault="004D146B" w:rsidP="004D146B">
      <w:pPr>
        <w:spacing w:after="0"/>
        <w:contextualSpacing/>
        <w:jc w:val="both"/>
        <w:rPr>
          <w:rFonts w:cs="Calibri"/>
        </w:rPr>
      </w:pPr>
      <w:r>
        <w:rPr>
          <w:rFonts w:cs="Calibri"/>
        </w:rPr>
        <w:t>A</w:t>
      </w:r>
      <w:r w:rsidRPr="003367AF">
        <w:rPr>
          <w:rFonts w:cs="Calibri"/>
        </w:rPr>
        <w:t xml:space="preserve">bstracts </w:t>
      </w:r>
      <w:r>
        <w:rPr>
          <w:rFonts w:cs="Calibri"/>
        </w:rPr>
        <w:t xml:space="preserve">of articles were scanned </w:t>
      </w:r>
      <w:r w:rsidRPr="003367AF">
        <w:rPr>
          <w:rFonts w:cs="Calibri"/>
        </w:rPr>
        <w:t xml:space="preserve">to identify papers containing epidemiological data and </w:t>
      </w:r>
      <w:r>
        <w:rPr>
          <w:rFonts w:cs="Calibri"/>
        </w:rPr>
        <w:t xml:space="preserve">to identify duplicate records. Copies of the full text were obtained for remaining articles and these were read in greater detail to determine suitability for inclusion. </w:t>
      </w:r>
      <w:proofErr w:type="spellStart"/>
      <w:r w:rsidRPr="00442FC8">
        <w:rPr>
          <w:rFonts w:cs="Calibri"/>
          <w:lang w:val="en-GB"/>
        </w:rPr>
        <w:t>Non-english</w:t>
      </w:r>
      <w:proofErr w:type="spellEnd"/>
      <w:r w:rsidRPr="00442FC8">
        <w:rPr>
          <w:rFonts w:cs="Calibri"/>
          <w:lang w:val="en-GB"/>
        </w:rPr>
        <w:t xml:space="preserve"> language sources were translated with the assistance of </w:t>
      </w:r>
      <w:r>
        <w:rPr>
          <w:rFonts w:cs="Calibri"/>
          <w:lang w:val="en-GB"/>
        </w:rPr>
        <w:t xml:space="preserve">staff and contacts at the University of Queensland and the IHME in Seattle. Where only broad age or person estimates were reported, authors were contacted to request </w:t>
      </w:r>
      <w:r>
        <w:rPr>
          <w:rFonts w:cs="Calibri"/>
        </w:rPr>
        <w:t>more detailed estimates for males and females, preferably by age. Authors were also contacted for further information where required on study methodology such as years of data collection, sampling frames, parameter specifics (</w:t>
      </w:r>
      <w:proofErr w:type="spellStart"/>
      <w:r>
        <w:rPr>
          <w:rFonts w:cs="Calibri"/>
        </w:rPr>
        <w:t>eg</w:t>
      </w:r>
      <w:proofErr w:type="spellEnd"/>
      <w:r>
        <w:rPr>
          <w:rFonts w:cs="Calibri"/>
        </w:rPr>
        <w:t xml:space="preserve">. prevalence period) and separate estimates for specific disorders such as MDD and dysthymia. Members of the research group met on a weekly basis to discuss issues with methodology and any uncertainty over interpretation of study findings. </w:t>
      </w:r>
    </w:p>
    <w:p w:rsidR="004D146B" w:rsidRDefault="004D146B" w:rsidP="004D146B">
      <w:pPr>
        <w:spacing w:after="0"/>
        <w:contextualSpacing/>
        <w:jc w:val="both"/>
        <w:rPr>
          <w:rFonts w:cs="Calibri"/>
        </w:rPr>
      </w:pPr>
    </w:p>
    <w:p w:rsidR="004D146B" w:rsidRPr="005A003C" w:rsidRDefault="004D146B" w:rsidP="004D146B">
      <w:pPr>
        <w:spacing w:after="0"/>
        <w:contextualSpacing/>
        <w:jc w:val="both"/>
        <w:rPr>
          <w:rFonts w:cs="Calibri"/>
          <w:b/>
          <w:i/>
        </w:rPr>
      </w:pPr>
      <w:r w:rsidRPr="005A003C">
        <w:rPr>
          <w:rFonts w:cs="Calibri"/>
          <w:b/>
          <w:i/>
        </w:rPr>
        <w:t xml:space="preserve">Example of search string </w:t>
      </w:r>
      <w:r>
        <w:rPr>
          <w:rFonts w:cs="Calibri"/>
          <w:b/>
          <w:i/>
        </w:rPr>
        <w:t>used</w:t>
      </w:r>
    </w:p>
    <w:tbl>
      <w:tblPr>
        <w:tblW w:w="9284" w:type="dxa"/>
        <w:tblInd w:w="180" w:type="dxa"/>
        <w:tblLayout w:type="fixed"/>
        <w:tblLook w:val="0000" w:firstRow="0" w:lastRow="0" w:firstColumn="0" w:lastColumn="0" w:noHBand="0" w:noVBand="0"/>
      </w:tblPr>
      <w:tblGrid>
        <w:gridCol w:w="2622"/>
        <w:gridCol w:w="6662"/>
      </w:tblGrid>
      <w:tr w:rsidR="004D146B" w:rsidRPr="005A003C" w:rsidTr="0059131A">
        <w:trPr>
          <w:trHeight w:val="286"/>
        </w:trPr>
        <w:tc>
          <w:tcPr>
            <w:tcW w:w="9284" w:type="dxa"/>
            <w:gridSpan w:val="2"/>
            <w:tcBorders>
              <w:top w:val="single" w:sz="4" w:space="0" w:color="auto"/>
              <w:bottom w:val="single" w:sz="4" w:space="0" w:color="auto"/>
            </w:tcBorders>
          </w:tcPr>
          <w:p w:rsidR="004D146B" w:rsidRPr="005A003C" w:rsidRDefault="004D146B" w:rsidP="004D146B">
            <w:pPr>
              <w:spacing w:after="0"/>
              <w:contextualSpacing/>
              <w:jc w:val="both"/>
              <w:rPr>
                <w:rFonts w:cs="Calibri"/>
                <w:lang w:val="en-AU"/>
              </w:rPr>
            </w:pPr>
            <w:r>
              <w:rPr>
                <w:rFonts w:cs="Calibri"/>
                <w:b/>
                <w:bCs/>
                <w:lang w:val="en-AU"/>
              </w:rPr>
              <w:t>Electronic database s</w:t>
            </w:r>
            <w:r w:rsidRPr="005A003C">
              <w:rPr>
                <w:rFonts w:cs="Calibri"/>
                <w:b/>
                <w:bCs/>
                <w:lang w:val="en-AU"/>
              </w:rPr>
              <w:t xml:space="preserve">earch </w:t>
            </w:r>
            <w:r>
              <w:rPr>
                <w:rFonts w:cs="Calibri"/>
                <w:b/>
                <w:bCs/>
                <w:lang w:val="en-AU"/>
              </w:rPr>
              <w:t>s</w:t>
            </w:r>
            <w:r w:rsidRPr="005A003C">
              <w:rPr>
                <w:rFonts w:cs="Calibri"/>
                <w:b/>
                <w:bCs/>
                <w:lang w:val="en-AU"/>
              </w:rPr>
              <w:t>tring</w:t>
            </w:r>
            <w:r>
              <w:rPr>
                <w:rFonts w:cs="Calibri"/>
                <w:b/>
                <w:bCs/>
                <w:lang w:val="en-AU"/>
              </w:rPr>
              <w:t>s</w:t>
            </w:r>
            <w:r w:rsidRPr="005A003C">
              <w:rPr>
                <w:rFonts w:cs="Calibri"/>
                <w:b/>
                <w:bCs/>
                <w:lang w:val="en-AU"/>
              </w:rPr>
              <w:t xml:space="preserve"> for </w:t>
            </w:r>
            <w:r>
              <w:rPr>
                <w:rFonts w:cs="Calibri"/>
                <w:b/>
                <w:bCs/>
                <w:lang w:val="en-AU"/>
              </w:rPr>
              <w:t>e</w:t>
            </w:r>
            <w:r w:rsidRPr="005A003C">
              <w:rPr>
                <w:rFonts w:cs="Calibri"/>
                <w:b/>
                <w:bCs/>
                <w:lang w:val="en-AU"/>
              </w:rPr>
              <w:t xml:space="preserve">ating </w:t>
            </w:r>
            <w:proofErr w:type="spellStart"/>
            <w:r>
              <w:rPr>
                <w:rFonts w:cs="Calibri"/>
                <w:b/>
                <w:bCs/>
                <w:lang w:val="en-AU"/>
              </w:rPr>
              <w:t>e</w:t>
            </w:r>
            <w:r w:rsidRPr="005A003C">
              <w:rPr>
                <w:rFonts w:cs="Calibri"/>
                <w:b/>
                <w:bCs/>
                <w:lang w:val="en-AU"/>
              </w:rPr>
              <w:t>isorders</w:t>
            </w:r>
            <w:proofErr w:type="spellEnd"/>
            <w:r w:rsidRPr="005A003C">
              <w:rPr>
                <w:rFonts w:cs="Calibri"/>
                <w:b/>
                <w:bCs/>
                <w:lang w:val="en-AU"/>
              </w:rPr>
              <w:t xml:space="preserve"> </w:t>
            </w:r>
          </w:p>
        </w:tc>
      </w:tr>
      <w:tr w:rsidR="004D146B" w:rsidRPr="005A003C" w:rsidTr="0059131A">
        <w:trPr>
          <w:trHeight w:val="189"/>
        </w:trPr>
        <w:tc>
          <w:tcPr>
            <w:tcW w:w="9284" w:type="dxa"/>
            <w:gridSpan w:val="2"/>
            <w:tcBorders>
              <w:top w:val="single" w:sz="4" w:space="0" w:color="auto"/>
              <w:bottom w:val="single" w:sz="4" w:space="0" w:color="auto"/>
            </w:tcBorders>
            <w:shd w:val="clear" w:color="auto" w:fill="BFBFBF" w:themeFill="background1" w:themeFillShade="BF"/>
          </w:tcPr>
          <w:p w:rsidR="004D146B" w:rsidRPr="005A003C" w:rsidRDefault="004D146B" w:rsidP="004D146B">
            <w:pPr>
              <w:spacing w:after="0"/>
              <w:contextualSpacing/>
              <w:jc w:val="both"/>
              <w:rPr>
                <w:rFonts w:cs="Calibri"/>
                <w:lang w:val="en-AU"/>
              </w:rPr>
            </w:pPr>
            <w:r w:rsidRPr="005A003C">
              <w:rPr>
                <w:rFonts w:cs="Calibri"/>
                <w:lang w:val="en-AU"/>
              </w:rPr>
              <w:t xml:space="preserve">Incidence and Prevalence </w:t>
            </w:r>
          </w:p>
        </w:tc>
      </w:tr>
      <w:tr w:rsidR="004D146B" w:rsidRPr="005A003C" w:rsidTr="0059131A">
        <w:trPr>
          <w:trHeight w:val="189"/>
        </w:trPr>
        <w:tc>
          <w:tcPr>
            <w:tcW w:w="2622" w:type="dxa"/>
            <w:tcBorders>
              <w:top w:val="single" w:sz="4" w:space="0" w:color="auto"/>
            </w:tcBorders>
          </w:tcPr>
          <w:p w:rsidR="004D146B" w:rsidRPr="005A003C" w:rsidRDefault="004D146B" w:rsidP="004D146B">
            <w:pPr>
              <w:spacing w:after="0"/>
              <w:contextualSpacing/>
              <w:jc w:val="both"/>
              <w:rPr>
                <w:rFonts w:cs="Calibri"/>
                <w:lang w:val="en-AU"/>
              </w:rPr>
            </w:pPr>
            <w:r w:rsidRPr="005A003C">
              <w:rPr>
                <w:rFonts w:cs="Calibri"/>
                <w:lang w:val="en-AU"/>
              </w:rPr>
              <w:t xml:space="preserve">Medline and </w:t>
            </w:r>
            <w:proofErr w:type="spellStart"/>
            <w:r w:rsidRPr="005A003C">
              <w:rPr>
                <w:rFonts w:cs="Calibri"/>
                <w:lang w:val="en-AU"/>
              </w:rPr>
              <w:t>PsychINFO</w:t>
            </w:r>
            <w:proofErr w:type="spellEnd"/>
            <w:r w:rsidRPr="005A003C">
              <w:rPr>
                <w:rFonts w:cs="Calibri"/>
                <w:lang w:val="en-AU"/>
              </w:rPr>
              <w:t xml:space="preserve"> </w:t>
            </w:r>
          </w:p>
        </w:tc>
        <w:tc>
          <w:tcPr>
            <w:tcW w:w="6662" w:type="dxa"/>
            <w:tcBorders>
              <w:top w:val="single" w:sz="4" w:space="0" w:color="auto"/>
            </w:tcBorders>
          </w:tcPr>
          <w:p w:rsidR="004D146B" w:rsidRPr="005A003C" w:rsidRDefault="004D146B" w:rsidP="004D146B">
            <w:pPr>
              <w:spacing w:after="0"/>
              <w:contextualSpacing/>
              <w:jc w:val="both"/>
              <w:rPr>
                <w:rFonts w:cs="Calibri"/>
                <w:lang w:val="en-AU"/>
              </w:rPr>
            </w:pPr>
            <w:r w:rsidRPr="005A003C">
              <w:rPr>
                <w:rFonts w:cs="Calibri"/>
                <w:lang w:val="en-AU"/>
              </w:rPr>
              <w:t xml:space="preserve">(anorexia or bulimia or eating disorder*) and (prevalence or incidence) not animal* </w:t>
            </w:r>
          </w:p>
        </w:tc>
      </w:tr>
      <w:tr w:rsidR="004D146B" w:rsidRPr="005A003C" w:rsidTr="0059131A">
        <w:trPr>
          <w:trHeight w:val="380"/>
        </w:trPr>
        <w:tc>
          <w:tcPr>
            <w:tcW w:w="2622" w:type="dxa"/>
            <w:tcBorders>
              <w:bottom w:val="single" w:sz="4" w:space="0" w:color="auto"/>
            </w:tcBorders>
          </w:tcPr>
          <w:p w:rsidR="004D146B" w:rsidRPr="005A003C" w:rsidRDefault="004D146B" w:rsidP="004D146B">
            <w:pPr>
              <w:spacing w:after="0"/>
              <w:contextualSpacing/>
              <w:jc w:val="both"/>
              <w:rPr>
                <w:rFonts w:cs="Calibri"/>
                <w:lang w:val="en-AU"/>
              </w:rPr>
            </w:pPr>
            <w:r w:rsidRPr="005A003C">
              <w:rPr>
                <w:rFonts w:cs="Calibri"/>
                <w:lang w:val="en-AU"/>
              </w:rPr>
              <w:t xml:space="preserve">EMBASE </w:t>
            </w:r>
          </w:p>
        </w:tc>
        <w:tc>
          <w:tcPr>
            <w:tcW w:w="6662" w:type="dxa"/>
            <w:tcBorders>
              <w:bottom w:val="single" w:sz="4" w:space="0" w:color="auto"/>
            </w:tcBorders>
          </w:tcPr>
          <w:p w:rsidR="004D146B" w:rsidRPr="005A003C" w:rsidRDefault="004D146B" w:rsidP="004D146B">
            <w:pPr>
              <w:spacing w:after="0"/>
              <w:contextualSpacing/>
              <w:jc w:val="both"/>
              <w:rPr>
                <w:rFonts w:cs="Calibri"/>
                <w:lang w:val="en-AU"/>
              </w:rPr>
            </w:pPr>
            <w:r w:rsidRPr="005A003C">
              <w:rPr>
                <w:rFonts w:cs="Calibri"/>
                <w:lang w:val="en-AU"/>
              </w:rPr>
              <w:t xml:space="preserve">(anorexia or bulimia or “eating disorder” or “eating disorders”) and (prevalence or incidence) </w:t>
            </w:r>
          </w:p>
        </w:tc>
      </w:tr>
      <w:tr w:rsidR="004D146B" w:rsidRPr="005A003C" w:rsidTr="0059131A">
        <w:trPr>
          <w:trHeight w:val="189"/>
        </w:trPr>
        <w:tc>
          <w:tcPr>
            <w:tcW w:w="9284" w:type="dxa"/>
            <w:gridSpan w:val="2"/>
            <w:tcBorders>
              <w:top w:val="single" w:sz="4" w:space="0" w:color="auto"/>
              <w:bottom w:val="single" w:sz="4" w:space="0" w:color="auto"/>
            </w:tcBorders>
            <w:shd w:val="clear" w:color="auto" w:fill="BFBFBF" w:themeFill="background1" w:themeFillShade="BF"/>
          </w:tcPr>
          <w:p w:rsidR="004D146B" w:rsidRPr="005A003C" w:rsidRDefault="004D146B" w:rsidP="004D146B">
            <w:pPr>
              <w:spacing w:after="0"/>
              <w:contextualSpacing/>
              <w:jc w:val="both"/>
              <w:rPr>
                <w:rFonts w:cs="Calibri"/>
                <w:lang w:val="en-AU"/>
              </w:rPr>
            </w:pPr>
            <w:r w:rsidRPr="005A003C">
              <w:rPr>
                <w:rFonts w:cs="Calibri"/>
                <w:lang w:val="en-AU"/>
              </w:rPr>
              <w:t xml:space="preserve">Remission and Mortality </w:t>
            </w:r>
          </w:p>
        </w:tc>
      </w:tr>
      <w:tr w:rsidR="004D146B" w:rsidRPr="005A003C" w:rsidTr="0059131A">
        <w:trPr>
          <w:trHeight w:val="570"/>
        </w:trPr>
        <w:tc>
          <w:tcPr>
            <w:tcW w:w="2622" w:type="dxa"/>
            <w:tcBorders>
              <w:top w:val="single" w:sz="4" w:space="0" w:color="auto"/>
            </w:tcBorders>
          </w:tcPr>
          <w:p w:rsidR="004D146B" w:rsidRPr="005A003C" w:rsidRDefault="004D146B" w:rsidP="004D146B">
            <w:pPr>
              <w:spacing w:after="0"/>
              <w:contextualSpacing/>
              <w:jc w:val="both"/>
              <w:rPr>
                <w:rFonts w:cs="Calibri"/>
                <w:lang w:val="en-AU"/>
              </w:rPr>
            </w:pPr>
            <w:r w:rsidRPr="005A003C">
              <w:rPr>
                <w:rFonts w:cs="Calibri"/>
                <w:lang w:val="en-AU"/>
              </w:rPr>
              <w:t xml:space="preserve">Medline and </w:t>
            </w:r>
            <w:proofErr w:type="spellStart"/>
            <w:r w:rsidRPr="005A003C">
              <w:rPr>
                <w:rFonts w:cs="Calibri"/>
                <w:lang w:val="en-AU"/>
              </w:rPr>
              <w:t>PsychINFO</w:t>
            </w:r>
            <w:proofErr w:type="spellEnd"/>
            <w:r w:rsidRPr="005A003C">
              <w:rPr>
                <w:rFonts w:cs="Calibri"/>
                <w:lang w:val="en-AU"/>
              </w:rPr>
              <w:t xml:space="preserve"> </w:t>
            </w:r>
          </w:p>
        </w:tc>
        <w:tc>
          <w:tcPr>
            <w:tcW w:w="6662" w:type="dxa"/>
            <w:tcBorders>
              <w:top w:val="single" w:sz="4" w:space="0" w:color="auto"/>
            </w:tcBorders>
          </w:tcPr>
          <w:p w:rsidR="004D146B" w:rsidRPr="005A003C" w:rsidRDefault="004D146B" w:rsidP="004D146B">
            <w:pPr>
              <w:spacing w:after="0"/>
              <w:contextualSpacing/>
              <w:jc w:val="both"/>
              <w:rPr>
                <w:rFonts w:cs="Calibri"/>
                <w:lang w:val="en-AU"/>
              </w:rPr>
            </w:pPr>
            <w:r w:rsidRPr="005A003C">
              <w:rPr>
                <w:rFonts w:cs="Calibri"/>
                <w:lang w:val="en-AU"/>
              </w:rPr>
              <w:t xml:space="preserve">(anorexia or bulimia or (eating disorder) or (eating disorders)) and (remission or relapse or duration or recovery or (life expectancy) or (cohort study) or (population study) or deaths or mortality or survival or (disease course)) </w:t>
            </w:r>
          </w:p>
        </w:tc>
      </w:tr>
      <w:tr w:rsidR="004D146B" w:rsidRPr="005A003C" w:rsidTr="0059131A">
        <w:trPr>
          <w:trHeight w:val="571"/>
        </w:trPr>
        <w:tc>
          <w:tcPr>
            <w:tcW w:w="2622" w:type="dxa"/>
            <w:tcBorders>
              <w:bottom w:val="single" w:sz="4" w:space="0" w:color="auto"/>
            </w:tcBorders>
          </w:tcPr>
          <w:p w:rsidR="004D146B" w:rsidRPr="005A003C" w:rsidRDefault="004D146B" w:rsidP="004D146B">
            <w:pPr>
              <w:spacing w:after="0"/>
              <w:contextualSpacing/>
              <w:jc w:val="both"/>
              <w:rPr>
                <w:rFonts w:cs="Calibri"/>
                <w:lang w:val="en-AU"/>
              </w:rPr>
            </w:pPr>
            <w:r w:rsidRPr="005A003C">
              <w:rPr>
                <w:rFonts w:cs="Calibri"/>
                <w:lang w:val="en-AU"/>
              </w:rPr>
              <w:t xml:space="preserve">EMBASE </w:t>
            </w:r>
          </w:p>
        </w:tc>
        <w:tc>
          <w:tcPr>
            <w:tcW w:w="6662" w:type="dxa"/>
            <w:tcBorders>
              <w:bottom w:val="single" w:sz="4" w:space="0" w:color="auto"/>
            </w:tcBorders>
          </w:tcPr>
          <w:p w:rsidR="004D146B" w:rsidRPr="005A003C" w:rsidRDefault="004D146B" w:rsidP="004D146B">
            <w:pPr>
              <w:spacing w:after="0"/>
              <w:contextualSpacing/>
              <w:jc w:val="both"/>
              <w:rPr>
                <w:rFonts w:cs="Calibri"/>
                <w:lang w:val="en-AU"/>
              </w:rPr>
            </w:pPr>
            <w:r w:rsidRPr="005A003C">
              <w:rPr>
                <w:rFonts w:cs="Calibri"/>
                <w:lang w:val="en-AU"/>
              </w:rPr>
              <w:t xml:space="preserve">(anorexia or bulimia or ‘eating disorder’ or ‘eating disorders’) and (remission or relapse or ‘disease duration’ or recovery or ‘life expectancy’ or ‘cohort study’ or ‘population study’ or deaths or mortality or survival or ‘disease course’) </w:t>
            </w:r>
          </w:p>
        </w:tc>
      </w:tr>
    </w:tbl>
    <w:p w:rsidR="004D146B" w:rsidRDefault="004D146B" w:rsidP="004D146B">
      <w:pPr>
        <w:spacing w:after="0"/>
        <w:contextualSpacing/>
        <w:jc w:val="both"/>
        <w:rPr>
          <w:rFonts w:cs="Calibri"/>
        </w:rPr>
      </w:pPr>
    </w:p>
    <w:p w:rsidR="004D146B" w:rsidRDefault="004D146B" w:rsidP="004D146B">
      <w:pPr>
        <w:spacing w:after="0"/>
        <w:contextualSpacing/>
        <w:jc w:val="both"/>
        <w:rPr>
          <w:rFonts w:asciiTheme="minorHAnsi" w:hAnsiTheme="minorHAnsi" w:cstheme="minorHAnsi"/>
          <w:b/>
          <w:bCs/>
          <w:lang w:val="en-AU"/>
        </w:rPr>
      </w:pPr>
    </w:p>
    <w:p w:rsidR="00BB4C68" w:rsidRPr="00022A75" w:rsidRDefault="00BB4C68" w:rsidP="004D146B">
      <w:pPr>
        <w:spacing w:after="0"/>
        <w:contextualSpacing/>
        <w:jc w:val="both"/>
        <w:rPr>
          <w:rFonts w:asciiTheme="minorHAnsi" w:hAnsiTheme="minorHAnsi" w:cstheme="minorHAnsi"/>
          <w:b/>
          <w:bCs/>
          <w:lang w:val="en-AU"/>
        </w:rPr>
      </w:pPr>
    </w:p>
    <w:p w:rsidR="004D146B" w:rsidRDefault="004D146B" w:rsidP="004D146B">
      <w:pPr>
        <w:spacing w:after="0"/>
        <w:contextualSpacing/>
        <w:jc w:val="both"/>
        <w:rPr>
          <w:rFonts w:asciiTheme="minorHAnsi" w:hAnsiTheme="minorHAnsi" w:cstheme="minorHAnsi"/>
          <w:b/>
          <w:bCs/>
          <w:lang w:val="en-AU"/>
        </w:rPr>
      </w:pPr>
      <w:proofErr w:type="gramStart"/>
      <w:r>
        <w:rPr>
          <w:rFonts w:asciiTheme="minorHAnsi" w:hAnsiTheme="minorHAnsi" w:cstheme="minorHAnsi"/>
          <w:b/>
          <w:bCs/>
          <w:lang w:val="en-AU"/>
        </w:rPr>
        <w:t>4.3  Search</w:t>
      </w:r>
      <w:proofErr w:type="gramEnd"/>
      <w:r>
        <w:rPr>
          <w:rFonts w:asciiTheme="minorHAnsi" w:hAnsiTheme="minorHAnsi" w:cstheme="minorHAnsi"/>
          <w:b/>
          <w:bCs/>
          <w:lang w:val="en-AU"/>
        </w:rPr>
        <w:t xml:space="preserve"> for additional data sources </w:t>
      </w:r>
    </w:p>
    <w:p w:rsidR="00BB4C68" w:rsidRDefault="00BB4C68" w:rsidP="004D146B">
      <w:pPr>
        <w:spacing w:after="0"/>
        <w:contextualSpacing/>
        <w:jc w:val="both"/>
        <w:rPr>
          <w:rFonts w:asciiTheme="minorHAnsi" w:hAnsiTheme="minorHAnsi" w:cstheme="minorHAnsi"/>
          <w:b/>
          <w:bCs/>
          <w:lang w:val="en-AU"/>
        </w:rPr>
      </w:pPr>
    </w:p>
    <w:p w:rsidR="004D146B" w:rsidRDefault="004D146B" w:rsidP="004D146B">
      <w:pPr>
        <w:spacing w:after="0"/>
        <w:contextualSpacing/>
        <w:rPr>
          <w:rFonts w:asciiTheme="minorHAnsi" w:hAnsiTheme="minorHAnsi" w:cstheme="minorHAnsi"/>
          <w:bCs/>
          <w:lang w:val="en-AU"/>
        </w:rPr>
      </w:pPr>
      <w:r w:rsidRPr="000A0DC9">
        <w:rPr>
          <w:rFonts w:asciiTheme="minorHAnsi" w:hAnsiTheme="minorHAnsi" w:cstheme="minorHAnsi"/>
          <w:bCs/>
          <w:lang w:val="en-AU"/>
        </w:rPr>
        <w:t xml:space="preserve">Additional </w:t>
      </w:r>
      <w:r w:rsidRPr="000A0DC9">
        <w:rPr>
          <w:rFonts w:asciiTheme="minorHAnsi" w:hAnsiTheme="minorHAnsi" w:cstheme="minorHAnsi"/>
          <w:bCs/>
        </w:rPr>
        <w:t xml:space="preserve">searches were conducted of texts and key documents and online sources to identify further studies. </w:t>
      </w:r>
      <w:r w:rsidRPr="000A0DC9">
        <w:rPr>
          <w:rFonts w:asciiTheme="minorHAnsi" w:hAnsiTheme="minorHAnsi" w:cstheme="minorHAnsi"/>
          <w:bCs/>
          <w:lang w:val="en-AU"/>
        </w:rPr>
        <w:t>Key websites were reviewed to identify any other</w:t>
      </w:r>
      <w:r w:rsidRPr="003367AF">
        <w:rPr>
          <w:rFonts w:asciiTheme="minorHAnsi" w:hAnsiTheme="minorHAnsi" w:cstheme="minorHAnsi"/>
          <w:bCs/>
          <w:lang w:val="en-AU"/>
        </w:rPr>
        <w:t xml:space="preserve"> data that may not have been published, </w:t>
      </w:r>
      <w:r>
        <w:rPr>
          <w:rFonts w:asciiTheme="minorHAnsi" w:hAnsiTheme="minorHAnsi" w:cstheme="minorHAnsi"/>
          <w:bCs/>
          <w:lang w:val="en-AU"/>
        </w:rPr>
        <w:t xml:space="preserve">such as national mental health surveys conducted by government statistical departments. Alternative academic databases, </w:t>
      </w:r>
      <w:proofErr w:type="spellStart"/>
      <w:r>
        <w:rPr>
          <w:rFonts w:asciiTheme="minorHAnsi" w:hAnsiTheme="minorHAnsi" w:cstheme="minorHAnsi"/>
          <w:bCs/>
          <w:lang w:val="en-AU"/>
        </w:rPr>
        <w:t>eg</w:t>
      </w:r>
      <w:proofErr w:type="spellEnd"/>
      <w:r>
        <w:rPr>
          <w:rFonts w:asciiTheme="minorHAnsi" w:hAnsiTheme="minorHAnsi" w:cstheme="minorHAnsi"/>
          <w:bCs/>
          <w:lang w:val="en-AU"/>
        </w:rPr>
        <w:t xml:space="preserve"> those with a focus on research from Africa or Asia, were searched for articles that may have been </w:t>
      </w:r>
      <w:r w:rsidRPr="003367AF">
        <w:rPr>
          <w:rFonts w:asciiTheme="minorHAnsi" w:hAnsiTheme="minorHAnsi" w:cstheme="minorHAnsi"/>
          <w:bCs/>
          <w:lang w:val="en-AU"/>
        </w:rPr>
        <w:t>published in non-indexed journals</w:t>
      </w:r>
      <w:r>
        <w:rPr>
          <w:rFonts w:asciiTheme="minorHAnsi" w:hAnsiTheme="minorHAnsi" w:cstheme="minorHAnsi"/>
          <w:bCs/>
          <w:lang w:val="en-AU"/>
        </w:rPr>
        <w:t xml:space="preserve"> and hence were not identified in the primary database search. </w:t>
      </w:r>
    </w:p>
    <w:p w:rsidR="004D146B" w:rsidRDefault="004D146B" w:rsidP="004D146B">
      <w:pPr>
        <w:spacing w:after="0"/>
        <w:contextualSpacing/>
        <w:jc w:val="both"/>
        <w:rPr>
          <w:rFonts w:asciiTheme="minorHAnsi" w:hAnsiTheme="minorHAnsi" w:cstheme="minorHAnsi"/>
          <w:bCs/>
          <w:lang w:val="en-AU"/>
        </w:rPr>
      </w:pPr>
    </w:p>
    <w:p w:rsidR="00BB4C68" w:rsidRDefault="00BB4C68" w:rsidP="004D146B">
      <w:pPr>
        <w:spacing w:after="0"/>
        <w:contextualSpacing/>
        <w:rPr>
          <w:rFonts w:asciiTheme="minorHAnsi" w:hAnsiTheme="minorHAnsi" w:cstheme="minorHAnsi"/>
          <w:bCs/>
          <w:u w:val="single"/>
          <w:lang w:val="en-AU"/>
        </w:rPr>
      </w:pPr>
    </w:p>
    <w:p w:rsidR="00BB4C68" w:rsidRDefault="00BB4C68" w:rsidP="004D146B">
      <w:pPr>
        <w:spacing w:after="0"/>
        <w:contextualSpacing/>
        <w:rPr>
          <w:rFonts w:asciiTheme="minorHAnsi" w:hAnsiTheme="minorHAnsi" w:cstheme="minorHAnsi"/>
          <w:bCs/>
          <w:u w:val="single"/>
          <w:lang w:val="en-AU"/>
        </w:rPr>
      </w:pPr>
    </w:p>
    <w:p w:rsidR="00BB4C68" w:rsidRDefault="00BB4C68" w:rsidP="004D146B">
      <w:pPr>
        <w:spacing w:after="0"/>
        <w:contextualSpacing/>
        <w:rPr>
          <w:rFonts w:asciiTheme="minorHAnsi" w:hAnsiTheme="minorHAnsi" w:cstheme="minorHAnsi"/>
          <w:bCs/>
          <w:u w:val="single"/>
          <w:lang w:val="en-AU"/>
        </w:rPr>
      </w:pPr>
    </w:p>
    <w:p w:rsidR="004D146B" w:rsidRPr="00641868" w:rsidRDefault="004D146B" w:rsidP="004D146B">
      <w:pPr>
        <w:spacing w:after="0"/>
        <w:contextualSpacing/>
        <w:rPr>
          <w:rFonts w:asciiTheme="minorHAnsi" w:hAnsiTheme="minorHAnsi" w:cstheme="minorHAnsi"/>
          <w:bCs/>
          <w:u w:val="single"/>
          <w:lang w:val="en-AU"/>
        </w:rPr>
      </w:pPr>
      <w:r w:rsidRPr="000A0DC9">
        <w:rPr>
          <w:rFonts w:asciiTheme="minorHAnsi" w:hAnsiTheme="minorHAnsi" w:cstheme="minorHAnsi"/>
          <w:bCs/>
          <w:u w:val="single"/>
          <w:lang w:val="en-AU"/>
        </w:rPr>
        <w:t xml:space="preserve">Alternative databases that were searched </w:t>
      </w:r>
      <w:proofErr w:type="gramStart"/>
      <w:r w:rsidRPr="000A0DC9">
        <w:rPr>
          <w:rFonts w:asciiTheme="minorHAnsi" w:hAnsiTheme="minorHAnsi" w:cstheme="minorHAnsi"/>
          <w:bCs/>
          <w:u w:val="single"/>
          <w:lang w:val="en-AU"/>
        </w:rPr>
        <w:t>included :</w:t>
      </w:r>
      <w:proofErr w:type="gramEnd"/>
      <w:r w:rsidRPr="000A0DC9">
        <w:rPr>
          <w:rFonts w:asciiTheme="minorHAnsi" w:hAnsiTheme="minorHAnsi" w:cstheme="minorHAnsi"/>
          <w:bCs/>
          <w:u w:val="single"/>
          <w:lang w:val="en-AU"/>
        </w:rPr>
        <w:t xml:space="preserve"> </w:t>
      </w:r>
    </w:p>
    <w:p w:rsidR="004D146B" w:rsidRDefault="004D146B" w:rsidP="004D146B">
      <w:pPr>
        <w:pStyle w:val="ListParagraph"/>
        <w:numPr>
          <w:ilvl w:val="0"/>
          <w:numId w:val="4"/>
        </w:numPr>
        <w:spacing w:after="0"/>
        <w:jc w:val="both"/>
        <w:rPr>
          <w:rFonts w:asciiTheme="minorHAnsi" w:hAnsiTheme="minorHAnsi" w:cstheme="minorHAnsi"/>
        </w:rPr>
      </w:pPr>
      <w:r w:rsidRPr="000A0DC9">
        <w:rPr>
          <w:rFonts w:asciiTheme="minorHAnsi" w:hAnsiTheme="minorHAnsi" w:cstheme="minorHAnsi"/>
        </w:rPr>
        <w:t>South African National Health Research Database (</w:t>
      </w:r>
      <w:hyperlink r:id="rId6" w:history="1">
        <w:r>
          <w:rPr>
            <w:rStyle w:val="Hyperlink"/>
            <w:rFonts w:asciiTheme="minorHAnsi" w:hAnsiTheme="minorHAnsi" w:cstheme="minorHAnsi"/>
          </w:rPr>
          <w:t>http://www.researchdatabase.org.za/</w:t>
        </w:r>
      </w:hyperlink>
      <w:r w:rsidRPr="000A0DC9">
        <w:rPr>
          <w:rFonts w:asciiTheme="minorHAnsi" w:hAnsiTheme="minorHAnsi" w:cstheme="minorHAnsi"/>
        </w:rPr>
        <w:t>)</w:t>
      </w:r>
    </w:p>
    <w:p w:rsidR="004D146B" w:rsidRDefault="004D146B" w:rsidP="004D146B">
      <w:pPr>
        <w:pStyle w:val="ListParagraph"/>
        <w:numPr>
          <w:ilvl w:val="0"/>
          <w:numId w:val="4"/>
        </w:numPr>
        <w:spacing w:after="0"/>
        <w:jc w:val="both"/>
        <w:rPr>
          <w:rFonts w:asciiTheme="minorHAnsi" w:hAnsiTheme="minorHAnsi" w:cstheme="minorHAnsi"/>
        </w:rPr>
      </w:pPr>
      <w:r w:rsidRPr="000A0DC9">
        <w:rPr>
          <w:rFonts w:asciiTheme="minorHAnsi" w:hAnsiTheme="minorHAnsi" w:cstheme="minorHAnsi"/>
        </w:rPr>
        <w:t>West African Research Association (</w:t>
      </w:r>
      <w:hyperlink r:id="rId7" w:history="1">
        <w:r>
          <w:rPr>
            <w:rStyle w:val="Hyperlink"/>
            <w:rFonts w:asciiTheme="minorHAnsi" w:hAnsiTheme="minorHAnsi" w:cstheme="minorHAnsi"/>
          </w:rPr>
          <w:t>http://www.bu.edu/wara/</w:t>
        </w:r>
      </w:hyperlink>
      <w:r w:rsidRPr="000A0DC9">
        <w:rPr>
          <w:rFonts w:asciiTheme="minorHAnsi" w:hAnsiTheme="minorHAnsi" w:cstheme="minorHAnsi"/>
        </w:rPr>
        <w:t>)</w:t>
      </w:r>
      <w:r>
        <w:rPr>
          <w:rFonts w:asciiTheme="minorHAnsi" w:hAnsiTheme="minorHAnsi" w:cstheme="minorHAnsi"/>
        </w:rPr>
        <w:t xml:space="preserve"> </w:t>
      </w:r>
    </w:p>
    <w:p w:rsidR="004D146B" w:rsidRDefault="004D146B" w:rsidP="004D146B">
      <w:pPr>
        <w:pStyle w:val="ListParagraph"/>
        <w:numPr>
          <w:ilvl w:val="0"/>
          <w:numId w:val="4"/>
        </w:numPr>
        <w:spacing w:after="0"/>
        <w:jc w:val="both"/>
        <w:rPr>
          <w:rFonts w:asciiTheme="minorHAnsi" w:hAnsiTheme="minorHAnsi" w:cstheme="minorHAnsi"/>
        </w:rPr>
      </w:pPr>
      <w:r w:rsidRPr="000A0DC9">
        <w:rPr>
          <w:rFonts w:asciiTheme="minorHAnsi" w:hAnsiTheme="minorHAnsi" w:cstheme="minorHAnsi"/>
        </w:rPr>
        <w:t xml:space="preserve">The China Knowledge Resource Integrated Database </w:t>
      </w:r>
    </w:p>
    <w:p w:rsidR="004D146B" w:rsidRDefault="004D146B" w:rsidP="004D146B">
      <w:pPr>
        <w:spacing w:after="0"/>
        <w:ind w:left="720"/>
        <w:contextualSpacing/>
        <w:jc w:val="both"/>
      </w:pPr>
      <w:r w:rsidRPr="000A0DC9">
        <w:t>(</w:t>
      </w:r>
      <w:hyperlink r:id="rId8" w:history="1">
        <w:r>
          <w:rPr>
            <w:rStyle w:val="Hyperlink"/>
            <w:rFonts w:asciiTheme="minorHAnsi" w:hAnsiTheme="minorHAnsi" w:cstheme="minorHAnsi"/>
          </w:rPr>
          <w:t>http://cnki.en.eastview.com/kns50/single_index.aspx</w:t>
        </w:r>
      </w:hyperlink>
      <w:r w:rsidRPr="000A0DC9">
        <w:t>)</w:t>
      </w:r>
    </w:p>
    <w:p w:rsidR="004D146B" w:rsidRDefault="004D146B" w:rsidP="004D146B">
      <w:pPr>
        <w:pStyle w:val="ListParagraph"/>
        <w:numPr>
          <w:ilvl w:val="0"/>
          <w:numId w:val="4"/>
        </w:numPr>
        <w:spacing w:after="0"/>
        <w:jc w:val="both"/>
        <w:rPr>
          <w:rFonts w:asciiTheme="minorHAnsi" w:hAnsiTheme="minorHAnsi" w:cstheme="minorHAnsi"/>
        </w:rPr>
      </w:pPr>
      <w:proofErr w:type="spellStart"/>
      <w:r w:rsidRPr="000A0DC9">
        <w:rPr>
          <w:rFonts w:asciiTheme="minorHAnsi" w:hAnsiTheme="minorHAnsi" w:cstheme="minorHAnsi"/>
        </w:rPr>
        <w:t>Panteleimon</w:t>
      </w:r>
      <w:proofErr w:type="spellEnd"/>
      <w:r w:rsidRPr="000A0DC9">
        <w:rPr>
          <w:rFonts w:asciiTheme="minorHAnsi" w:hAnsiTheme="minorHAnsi" w:cstheme="minorHAnsi"/>
        </w:rPr>
        <w:t xml:space="preserve"> (</w:t>
      </w:r>
      <w:hyperlink r:id="rId9" w:history="1">
        <w:r>
          <w:rPr>
            <w:rStyle w:val="Hyperlink"/>
            <w:rFonts w:asciiTheme="minorHAnsi" w:hAnsiTheme="minorHAnsi" w:cstheme="minorHAnsi"/>
          </w:rPr>
          <w:t>http://www.panteleimon.org</w:t>
        </w:r>
      </w:hyperlink>
      <w:r w:rsidRPr="000A0DC9">
        <w:rPr>
          <w:rFonts w:asciiTheme="minorHAnsi" w:hAnsiTheme="minorHAnsi" w:cstheme="minorHAnsi"/>
        </w:rPr>
        <w:t>)</w:t>
      </w:r>
    </w:p>
    <w:p w:rsidR="004D146B" w:rsidRDefault="004D146B" w:rsidP="004D146B">
      <w:pPr>
        <w:pStyle w:val="ListParagraph"/>
        <w:numPr>
          <w:ilvl w:val="0"/>
          <w:numId w:val="4"/>
        </w:numPr>
        <w:spacing w:after="0"/>
        <w:jc w:val="both"/>
        <w:rPr>
          <w:rFonts w:asciiTheme="minorHAnsi" w:hAnsiTheme="minorHAnsi" w:cstheme="minorHAnsi"/>
        </w:rPr>
      </w:pPr>
      <w:r w:rsidRPr="000A0DC9">
        <w:rPr>
          <w:rFonts w:asciiTheme="minorHAnsi" w:hAnsiTheme="minorHAnsi" w:cstheme="minorHAnsi"/>
        </w:rPr>
        <w:t>Google scholar (</w:t>
      </w:r>
      <w:hyperlink r:id="rId10" w:history="1">
        <w:r>
          <w:rPr>
            <w:rStyle w:val="Hyperlink"/>
            <w:rFonts w:asciiTheme="minorHAnsi" w:hAnsiTheme="minorHAnsi" w:cstheme="minorHAnsi"/>
          </w:rPr>
          <w:t>http://google.com/scholar</w:t>
        </w:r>
      </w:hyperlink>
      <w:r w:rsidRPr="000A0DC9">
        <w:rPr>
          <w:rFonts w:asciiTheme="minorHAnsi" w:hAnsiTheme="minorHAnsi" w:cstheme="minorHAnsi"/>
        </w:rPr>
        <w:t>)</w:t>
      </w:r>
    </w:p>
    <w:p w:rsidR="004D146B" w:rsidRDefault="004D146B" w:rsidP="004D146B">
      <w:pPr>
        <w:spacing w:after="0"/>
        <w:contextualSpacing/>
        <w:jc w:val="both"/>
        <w:rPr>
          <w:rFonts w:asciiTheme="minorHAnsi" w:hAnsiTheme="minorHAnsi" w:cstheme="minorHAnsi"/>
          <w:bCs/>
        </w:rPr>
      </w:pPr>
    </w:p>
    <w:p w:rsidR="004D146B" w:rsidRDefault="004D146B" w:rsidP="004D146B">
      <w:pPr>
        <w:spacing w:after="0"/>
        <w:contextualSpacing/>
        <w:jc w:val="both"/>
        <w:rPr>
          <w:rFonts w:asciiTheme="minorHAnsi" w:hAnsiTheme="minorHAnsi" w:cstheme="minorHAnsi"/>
        </w:rPr>
      </w:pPr>
      <w:r>
        <w:rPr>
          <w:rFonts w:asciiTheme="minorHAnsi" w:hAnsiTheme="minorHAnsi" w:cstheme="minorHAnsi"/>
          <w:bCs/>
        </w:rPr>
        <w:t xml:space="preserve">Key documents such as the Mental Health Atlas produced by the World Health Organization </w:t>
      </w:r>
      <w:r>
        <w:rPr>
          <w:rFonts w:asciiTheme="minorHAnsi" w:hAnsiTheme="minorHAnsi" w:cstheme="minorHAnsi"/>
          <w:bCs/>
        </w:rPr>
        <w:fldChar w:fldCharType="begin"/>
      </w:r>
      <w:r>
        <w:rPr>
          <w:rFonts w:asciiTheme="minorHAnsi" w:hAnsiTheme="minorHAnsi" w:cstheme="minorHAnsi"/>
          <w:bCs/>
        </w:rPr>
        <w:instrText xml:space="preserve"> ADDIN EN.CITE &lt;EndNote&gt;&lt;Cite&gt;&lt;Author&gt;World Health Organization&lt;/Author&gt;&lt;Year&gt;2005&lt;/Year&gt;&lt;RecNum&gt;1686&lt;/RecNum&gt;&lt;DisplayText&gt;[1]&lt;/DisplayText&gt;&lt;record&gt;&lt;rec-number&gt;1686&lt;/rec-number&gt;&lt;foreign-keys&gt;&lt;key app="EN" db-id="aadxpr9zrp5ww5ea05hpfw0cz99e5tf9faxv"&gt;1686&lt;/key&gt;&lt;/foreign-keys&gt;&lt;ref-type name="Book"&gt;6&lt;/ref-type&gt;&lt;contributors&gt;&lt;authors&gt;&lt;author&gt;World Health Organization,&lt;/author&gt;&lt;/authors&gt;&lt;secondary-authors&gt;&lt;author&gt;World Health Organization&lt;/author&gt;&lt;/secondary-authors&gt;&lt;/contributors&gt;&lt;titles&gt;&lt;title&gt;Mental Health Atlas: 2005&lt;/title&gt;&lt;/titles&gt;&lt;dates&gt;&lt;year&gt;2005&lt;/year&gt;&lt;/dates&gt;&lt;pub-location&gt;Geneva&lt;/pub-location&gt;&lt;urls&gt;&lt;/urls&gt;&lt;/record&gt;&lt;/Cite&gt;&lt;/EndNote&gt;</w:instrText>
      </w:r>
      <w:r>
        <w:rPr>
          <w:rFonts w:asciiTheme="minorHAnsi" w:hAnsiTheme="minorHAnsi" w:cstheme="minorHAnsi"/>
          <w:bCs/>
        </w:rPr>
        <w:fldChar w:fldCharType="separate"/>
      </w:r>
      <w:r>
        <w:rPr>
          <w:rFonts w:asciiTheme="minorHAnsi" w:hAnsiTheme="minorHAnsi" w:cstheme="minorHAnsi"/>
          <w:bCs/>
          <w:noProof/>
        </w:rPr>
        <w:t>[1]</w:t>
      </w:r>
      <w:r>
        <w:rPr>
          <w:rFonts w:asciiTheme="minorHAnsi" w:hAnsiTheme="minorHAnsi" w:cstheme="minorHAnsi"/>
          <w:bCs/>
        </w:rPr>
        <w:fldChar w:fldCharType="end"/>
      </w:r>
      <w:r>
        <w:rPr>
          <w:rFonts w:asciiTheme="minorHAnsi" w:hAnsiTheme="minorHAnsi" w:cstheme="minorHAnsi"/>
          <w:bCs/>
        </w:rPr>
        <w:t xml:space="preserve">, textbooks and previous review articles were identified and reference lists of these sources reviewed for additional studies not already identified. </w:t>
      </w:r>
    </w:p>
    <w:p w:rsidR="004D146B" w:rsidRDefault="004D146B" w:rsidP="004D146B">
      <w:pPr>
        <w:spacing w:after="0"/>
        <w:contextualSpacing/>
        <w:jc w:val="both"/>
        <w:rPr>
          <w:rFonts w:asciiTheme="minorHAnsi" w:hAnsiTheme="minorHAnsi" w:cstheme="minorHAnsi"/>
          <w:b/>
        </w:rPr>
      </w:pPr>
    </w:p>
    <w:p w:rsidR="00BB4C68" w:rsidRDefault="00BB4C68" w:rsidP="004D146B">
      <w:pPr>
        <w:spacing w:after="0"/>
        <w:contextualSpacing/>
        <w:jc w:val="both"/>
        <w:rPr>
          <w:rFonts w:asciiTheme="minorHAnsi" w:hAnsiTheme="minorHAnsi" w:cstheme="minorHAnsi"/>
          <w:b/>
        </w:rPr>
      </w:pPr>
    </w:p>
    <w:p w:rsidR="004D146B" w:rsidRDefault="004D146B" w:rsidP="004D146B">
      <w:pPr>
        <w:spacing w:after="0"/>
        <w:contextualSpacing/>
        <w:jc w:val="both"/>
        <w:rPr>
          <w:rFonts w:asciiTheme="minorHAnsi" w:hAnsiTheme="minorHAnsi" w:cstheme="minorHAnsi"/>
          <w:b/>
          <w:bCs/>
          <w:lang w:val="en-AU"/>
        </w:rPr>
      </w:pPr>
      <w:proofErr w:type="gramStart"/>
      <w:r>
        <w:rPr>
          <w:rFonts w:asciiTheme="minorHAnsi" w:hAnsiTheme="minorHAnsi" w:cstheme="minorHAnsi"/>
          <w:b/>
          <w:bCs/>
          <w:lang w:val="en-AU"/>
        </w:rPr>
        <w:t>4.4  Expert</w:t>
      </w:r>
      <w:proofErr w:type="gramEnd"/>
      <w:r>
        <w:rPr>
          <w:rFonts w:asciiTheme="minorHAnsi" w:hAnsiTheme="minorHAnsi" w:cstheme="minorHAnsi"/>
          <w:b/>
          <w:bCs/>
          <w:lang w:val="en-AU"/>
        </w:rPr>
        <w:t xml:space="preserve"> consultation and </w:t>
      </w:r>
      <w:r w:rsidRPr="00A55068">
        <w:rPr>
          <w:rFonts w:asciiTheme="minorHAnsi" w:hAnsiTheme="minorHAnsi" w:cstheme="minorHAnsi"/>
          <w:b/>
          <w:bCs/>
          <w:lang w:val="en-AU"/>
        </w:rPr>
        <w:t>requests to key experts and organisations</w:t>
      </w:r>
    </w:p>
    <w:p w:rsidR="00BB4C68" w:rsidRDefault="00BB4C68" w:rsidP="004D146B">
      <w:pPr>
        <w:spacing w:after="0"/>
        <w:contextualSpacing/>
        <w:jc w:val="both"/>
        <w:rPr>
          <w:rFonts w:asciiTheme="minorHAnsi" w:hAnsiTheme="minorHAnsi" w:cstheme="minorHAnsi"/>
          <w:b/>
          <w:bCs/>
          <w:lang w:val="en-AU"/>
        </w:rPr>
      </w:pPr>
    </w:p>
    <w:p w:rsidR="004D146B" w:rsidRDefault="004D146B" w:rsidP="004D146B">
      <w:pPr>
        <w:spacing w:after="0"/>
        <w:contextualSpacing/>
        <w:jc w:val="both"/>
        <w:rPr>
          <w:rFonts w:asciiTheme="minorHAnsi" w:hAnsiTheme="minorHAnsi" w:cstheme="minorHAnsi"/>
          <w:bCs/>
          <w:lang w:val="en-AU"/>
        </w:rPr>
      </w:pPr>
      <w:r w:rsidRPr="00E80BDF">
        <w:rPr>
          <w:rFonts w:asciiTheme="minorHAnsi" w:hAnsiTheme="minorHAnsi" w:cstheme="minorHAnsi"/>
          <w:bCs/>
        </w:rPr>
        <w:t>Experts in the field were invited to review our list of studies</w:t>
      </w:r>
      <w:r>
        <w:rPr>
          <w:rFonts w:asciiTheme="minorHAnsi" w:hAnsiTheme="minorHAnsi" w:cstheme="minorHAnsi"/>
          <w:bCs/>
        </w:rPr>
        <w:t xml:space="preserve"> identified to this point</w:t>
      </w:r>
      <w:r w:rsidRPr="00E80BDF">
        <w:rPr>
          <w:rFonts w:asciiTheme="minorHAnsi" w:hAnsiTheme="minorHAnsi" w:cstheme="minorHAnsi"/>
          <w:bCs/>
        </w:rPr>
        <w:t xml:space="preserve"> and </w:t>
      </w:r>
      <w:r>
        <w:rPr>
          <w:rFonts w:asciiTheme="minorHAnsi" w:hAnsiTheme="minorHAnsi" w:cstheme="minorHAnsi"/>
          <w:bCs/>
        </w:rPr>
        <w:t>asked to</w:t>
      </w:r>
      <w:r w:rsidRPr="00E80BDF">
        <w:rPr>
          <w:rFonts w:asciiTheme="minorHAnsi" w:hAnsiTheme="minorHAnsi" w:cstheme="minorHAnsi"/>
          <w:bCs/>
        </w:rPr>
        <w:t xml:space="preserve"> provide details of additional sources, including that available after 200</w:t>
      </w:r>
      <w:r>
        <w:rPr>
          <w:rFonts w:asciiTheme="minorHAnsi" w:hAnsiTheme="minorHAnsi" w:cstheme="minorHAnsi"/>
          <w:bCs/>
        </w:rPr>
        <w:t>8</w:t>
      </w:r>
      <w:r w:rsidRPr="00E80BDF">
        <w:rPr>
          <w:rFonts w:asciiTheme="minorHAnsi" w:hAnsiTheme="minorHAnsi" w:cstheme="minorHAnsi"/>
          <w:bCs/>
        </w:rPr>
        <w:t xml:space="preserve">. </w:t>
      </w:r>
      <w:r w:rsidRPr="00174D44">
        <w:rPr>
          <w:rFonts w:asciiTheme="minorHAnsi" w:hAnsiTheme="minorHAnsi" w:cstheme="minorHAnsi"/>
          <w:bCs/>
          <w:lang w:val="en-AU"/>
        </w:rPr>
        <w:t>Several large-scale collaborative groups have conducted cross-national surveys for mental disorders</w:t>
      </w:r>
      <w:r>
        <w:rPr>
          <w:rFonts w:asciiTheme="minorHAnsi" w:hAnsiTheme="minorHAnsi" w:cstheme="minorHAnsi"/>
          <w:bCs/>
          <w:lang w:val="en-AU"/>
        </w:rPr>
        <w:t xml:space="preserve">, in particular the </w:t>
      </w:r>
      <w:r w:rsidRPr="005F6B4A">
        <w:rPr>
          <w:rFonts w:asciiTheme="minorHAnsi" w:hAnsiTheme="minorHAnsi" w:cstheme="minorHAnsi"/>
          <w:bCs/>
          <w:lang w:val="en-AU"/>
        </w:rPr>
        <w:t>International Consortium in Psychiatric Epidemiology (ICPE)</w:t>
      </w:r>
      <w:r>
        <w:rPr>
          <w:rFonts w:asciiTheme="minorHAnsi" w:hAnsiTheme="minorHAnsi" w:cstheme="minorHAnsi"/>
          <w:bCs/>
          <w:lang w:val="en-AU"/>
        </w:rPr>
        <w:t xml:space="preserve"> and the more recent World Mental Health Survey Collaboration (WMHS). These groups were approached and invited to contribute data for member countries. No additional data were able to be provided for the ICPE studies, but several articles had been published on the studies conducted between 1990 and 1996 that allowed us to extract prevalence data for seven countries. </w:t>
      </w:r>
    </w:p>
    <w:p w:rsidR="004D146B" w:rsidRDefault="004D146B" w:rsidP="004D146B">
      <w:pPr>
        <w:spacing w:after="0"/>
        <w:contextualSpacing/>
        <w:jc w:val="both"/>
        <w:rPr>
          <w:rFonts w:asciiTheme="minorHAnsi" w:hAnsiTheme="minorHAnsi" w:cstheme="minorHAnsi"/>
          <w:bCs/>
        </w:rPr>
      </w:pPr>
    </w:p>
    <w:p w:rsidR="004D146B" w:rsidRDefault="004D146B" w:rsidP="004D146B">
      <w:pPr>
        <w:spacing w:after="0"/>
        <w:contextualSpacing/>
        <w:jc w:val="both"/>
        <w:rPr>
          <w:rFonts w:asciiTheme="minorHAnsi" w:hAnsiTheme="minorHAnsi" w:cstheme="minorHAnsi"/>
          <w:bCs/>
        </w:rPr>
      </w:pPr>
      <w:r w:rsidRPr="00A039FC">
        <w:rPr>
          <w:rFonts w:asciiTheme="minorHAnsi" w:hAnsiTheme="minorHAnsi" w:cstheme="minorHAnsi"/>
          <w:bCs/>
        </w:rPr>
        <w:t xml:space="preserve">The WMHS Consortium was approached for results from their ongoing cross-national population surveys. The WMHS comprises national or regional household surveys in which structured surveys were administered between 2000 and 2009. Data were provided for age- and sex-specific prevalence of anxiety disorders for 22 countries </w:t>
      </w:r>
      <w:r>
        <w:rPr>
          <w:rFonts w:asciiTheme="minorHAnsi" w:hAnsiTheme="minorHAnsi" w:cstheme="minorHAnsi"/>
          <w:bCs/>
        </w:rPr>
        <w:fldChar w:fldCharType="begin"/>
      </w:r>
      <w:r>
        <w:rPr>
          <w:rFonts w:asciiTheme="minorHAnsi" w:hAnsiTheme="minorHAnsi" w:cstheme="minorHAnsi"/>
          <w:bCs/>
        </w:rPr>
        <w:instrText xml:space="preserve"> ADDIN EN.CITE &lt;EndNote&gt;&lt;Cite&gt;&lt;Author&gt;World health Organization&lt;/Author&gt;&lt;Year&gt;2008&lt;/Year&gt;&lt;RecNum&gt;1382&lt;/RecNum&gt;&lt;DisplayText&gt;[2]&lt;/DisplayText&gt;&lt;record&gt;&lt;rec-number&gt;1382&lt;/rec-number&gt;&lt;foreign-keys&gt;&lt;key app="EN" db-id="aadxpr9zrp5ww5ea05hpfw0cz99e5tf9faxv"&gt;1382&lt;/key&gt;&lt;/foreign-keys&gt;&lt;ref-type name="Unpublished Work"&gt;34&lt;/ref-type&gt;&lt;contributors&gt;&lt;authors&gt;&lt;author&gt;World Health Organization,&lt;/author&gt;&lt;/authors&gt;&lt;/contributors&gt;&lt;titles&gt;&lt;title&gt;World Mental Health Survey&lt;/title&gt;&lt;/titles&gt;&lt;dates&gt;&lt;year&gt;2008&lt;/year&gt;&lt;/dates&gt;&lt;publisher&gt;WHO&lt;/publisher&gt;&lt;urls&gt;&lt;pdf-urls&gt;&lt;url&gt;*&lt;/url&gt;&lt;/pdf-urls&gt;&lt;/urls&gt;&lt;research-notes&gt;Included: MDD prevalence&lt;/research-notes&gt;&lt;/record&gt;&lt;/Cite&gt;&lt;/EndNote&gt;</w:instrText>
      </w:r>
      <w:r>
        <w:rPr>
          <w:rFonts w:asciiTheme="minorHAnsi" w:hAnsiTheme="minorHAnsi" w:cstheme="minorHAnsi"/>
          <w:bCs/>
        </w:rPr>
        <w:fldChar w:fldCharType="separate"/>
      </w:r>
      <w:r>
        <w:rPr>
          <w:rFonts w:asciiTheme="minorHAnsi" w:hAnsiTheme="minorHAnsi" w:cstheme="minorHAnsi"/>
          <w:bCs/>
          <w:noProof/>
        </w:rPr>
        <w:t>[2]</w:t>
      </w:r>
      <w:r>
        <w:rPr>
          <w:rFonts w:asciiTheme="minorHAnsi" w:hAnsiTheme="minorHAnsi" w:cstheme="minorHAnsi"/>
          <w:bCs/>
        </w:rPr>
        <w:fldChar w:fldCharType="end"/>
      </w:r>
      <w:r>
        <w:rPr>
          <w:rFonts w:asciiTheme="minorHAnsi" w:hAnsiTheme="minorHAnsi" w:cstheme="minorHAnsi"/>
          <w:bCs/>
        </w:rPr>
        <w:t>.</w:t>
      </w:r>
    </w:p>
    <w:p w:rsidR="004D146B" w:rsidRDefault="004D146B" w:rsidP="004D146B">
      <w:pPr>
        <w:spacing w:after="0"/>
        <w:contextualSpacing/>
        <w:jc w:val="both"/>
        <w:rPr>
          <w:rFonts w:asciiTheme="minorHAnsi" w:hAnsiTheme="minorHAnsi" w:cstheme="minorHAnsi"/>
          <w:bCs/>
          <w:lang w:val="en-AU"/>
        </w:rPr>
      </w:pPr>
    </w:p>
    <w:p w:rsidR="007702C9" w:rsidRDefault="007702C9" w:rsidP="004D146B">
      <w:pPr>
        <w:spacing w:after="0"/>
        <w:contextualSpacing/>
        <w:jc w:val="both"/>
        <w:rPr>
          <w:rFonts w:asciiTheme="minorHAnsi" w:hAnsiTheme="minorHAnsi" w:cstheme="minorHAnsi"/>
          <w:bCs/>
          <w:lang w:val="en-AU"/>
        </w:rPr>
      </w:pPr>
    </w:p>
    <w:p w:rsidR="007702C9" w:rsidRDefault="007702C9" w:rsidP="004D146B">
      <w:pPr>
        <w:spacing w:after="0"/>
        <w:contextualSpacing/>
        <w:jc w:val="both"/>
        <w:rPr>
          <w:rFonts w:asciiTheme="minorHAnsi" w:hAnsiTheme="minorHAnsi" w:cstheme="minorHAnsi"/>
          <w:bCs/>
          <w:lang w:val="en-AU"/>
        </w:rPr>
      </w:pPr>
    </w:p>
    <w:p w:rsidR="007702C9" w:rsidRPr="00C63052" w:rsidRDefault="007702C9" w:rsidP="00C63052">
      <w:pPr>
        <w:rPr>
          <w:rFonts w:asciiTheme="minorHAnsi" w:hAnsiTheme="minorHAnsi"/>
          <w:u w:val="single"/>
        </w:rPr>
      </w:pPr>
      <w:r w:rsidRPr="00C63052">
        <w:rPr>
          <w:rFonts w:asciiTheme="minorHAnsi" w:hAnsiTheme="minorHAnsi"/>
          <w:u w:val="single"/>
        </w:rPr>
        <w:t>References</w:t>
      </w:r>
    </w:p>
    <w:p w:rsidR="007702C9" w:rsidRPr="00C63052" w:rsidRDefault="007702C9" w:rsidP="007702C9">
      <w:pPr>
        <w:spacing w:after="0" w:line="240" w:lineRule="auto"/>
        <w:ind w:left="284" w:hanging="284"/>
        <w:jc w:val="both"/>
        <w:rPr>
          <w:rFonts w:asciiTheme="minorHAnsi" w:hAnsiTheme="minorHAnsi" w:cstheme="minorHAnsi"/>
          <w:noProof/>
        </w:rPr>
      </w:pPr>
      <w:r w:rsidRPr="00C63052">
        <w:rPr>
          <w:rFonts w:asciiTheme="minorHAnsi" w:hAnsiTheme="minorHAnsi" w:cstheme="minorHAnsi"/>
        </w:rPr>
        <w:fldChar w:fldCharType="begin"/>
      </w:r>
      <w:r w:rsidRPr="00C63052">
        <w:rPr>
          <w:rFonts w:asciiTheme="minorHAnsi" w:hAnsiTheme="minorHAnsi" w:cstheme="minorHAnsi"/>
        </w:rPr>
        <w:instrText xml:space="preserve"> ADDIN EN.REFLIST </w:instrText>
      </w:r>
      <w:r w:rsidRPr="00C63052">
        <w:rPr>
          <w:rFonts w:asciiTheme="minorHAnsi" w:hAnsiTheme="minorHAnsi" w:cstheme="minorHAnsi"/>
        </w:rPr>
        <w:fldChar w:fldCharType="separate"/>
      </w:r>
      <w:r w:rsidRPr="00C63052">
        <w:rPr>
          <w:rFonts w:asciiTheme="minorHAnsi" w:hAnsiTheme="minorHAnsi" w:cstheme="minorHAnsi"/>
          <w:noProof/>
        </w:rPr>
        <w:t>1. World Health Organization (2005) Mental Health Atlas: 2005; WHO, Geneva.</w:t>
      </w:r>
    </w:p>
    <w:p w:rsidR="007702C9" w:rsidRPr="00C63052" w:rsidRDefault="007702C9" w:rsidP="007702C9">
      <w:pPr>
        <w:spacing w:after="0" w:line="240" w:lineRule="auto"/>
        <w:ind w:left="284" w:hanging="284"/>
        <w:jc w:val="both"/>
        <w:rPr>
          <w:rFonts w:asciiTheme="minorHAnsi" w:hAnsiTheme="minorHAnsi" w:cstheme="minorHAnsi"/>
          <w:noProof/>
        </w:rPr>
      </w:pPr>
      <w:r w:rsidRPr="00C63052">
        <w:rPr>
          <w:rFonts w:asciiTheme="minorHAnsi" w:hAnsiTheme="minorHAnsi" w:cstheme="minorHAnsi"/>
          <w:noProof/>
        </w:rPr>
        <w:t xml:space="preserve">2. World Mental health Survey Collaboration (2008) World Mental Health Survey, unpublished data. harvard University, Boston. </w:t>
      </w:r>
    </w:p>
    <w:p w:rsidR="007702C9" w:rsidRPr="00C63052" w:rsidRDefault="007702C9" w:rsidP="007702C9">
      <w:pPr>
        <w:spacing w:after="0" w:line="240" w:lineRule="auto"/>
        <w:ind w:left="284" w:hanging="284"/>
        <w:jc w:val="both"/>
        <w:rPr>
          <w:rFonts w:asciiTheme="minorHAnsi" w:hAnsiTheme="minorHAnsi" w:cstheme="minorHAnsi"/>
          <w:noProof/>
        </w:rPr>
      </w:pPr>
      <w:r w:rsidRPr="00C63052">
        <w:rPr>
          <w:rFonts w:asciiTheme="minorHAnsi" w:hAnsiTheme="minorHAnsi" w:cstheme="minorHAnsi"/>
          <w:noProof/>
        </w:rPr>
        <w:t>3. Cho MJ, Kim JK, Jeon HJ, Suh T, Chung IW, et al. (2007) Lifetime and 12-month prevalence of DSM-IV psychiatric disorders among Korean adults. Journal of Nervous and Mental Disease 195: 203–210.</w:t>
      </w:r>
    </w:p>
    <w:p w:rsidR="007702C9" w:rsidRPr="00C63052" w:rsidRDefault="007702C9" w:rsidP="007702C9">
      <w:pPr>
        <w:spacing w:after="0" w:line="240" w:lineRule="auto"/>
        <w:ind w:left="284" w:hanging="284"/>
        <w:jc w:val="both"/>
        <w:rPr>
          <w:rFonts w:asciiTheme="minorHAnsi" w:hAnsiTheme="minorHAnsi" w:cstheme="minorHAnsi"/>
          <w:noProof/>
        </w:rPr>
      </w:pPr>
    </w:p>
    <w:p w:rsidR="007702C9" w:rsidRDefault="007702C9" w:rsidP="007702C9">
      <w:pPr>
        <w:spacing w:after="0" w:line="240" w:lineRule="auto"/>
        <w:contextualSpacing/>
        <w:jc w:val="both"/>
        <w:rPr>
          <w:rFonts w:asciiTheme="minorHAnsi" w:hAnsiTheme="minorHAnsi" w:cstheme="minorHAnsi"/>
          <w:b/>
          <w:bCs/>
          <w:lang w:val="en-AU"/>
        </w:rPr>
      </w:pPr>
      <w:r w:rsidRPr="00C63052">
        <w:rPr>
          <w:rFonts w:asciiTheme="minorHAnsi" w:hAnsiTheme="minorHAnsi" w:cstheme="minorHAnsi"/>
        </w:rPr>
        <w:fldChar w:fldCharType="end"/>
      </w:r>
    </w:p>
    <w:sectPr w:rsidR="007702C9" w:rsidSect="004D146B">
      <w:pgSz w:w="11906" w:h="16838"/>
      <w:pgMar w:top="1191"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BC7"/>
    <w:multiLevelType w:val="hybridMultilevel"/>
    <w:tmpl w:val="ADE4869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nsid w:val="42AF7A7A"/>
    <w:multiLevelType w:val="hybridMultilevel"/>
    <w:tmpl w:val="D482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533EDB"/>
    <w:multiLevelType w:val="multilevel"/>
    <w:tmpl w:val="ED2428E0"/>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360"/>
      </w:pPr>
      <w:rPr>
        <w:rFonts w:hint="default"/>
      </w:rPr>
    </w:lvl>
    <w:lvl w:ilvl="2">
      <w:start w:val="1"/>
      <w:numFmt w:val="none"/>
      <w:lvlText w:val="%1.%2.1"/>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574B33C3"/>
    <w:multiLevelType w:val="hybridMultilevel"/>
    <w:tmpl w:val="21B6C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F10B30"/>
    <w:multiLevelType w:val="hybridMultilevel"/>
    <w:tmpl w:val="CB2CE9F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compat>
    <w:compatSetting w:name="compatibilityMode" w:uri="http://schemas.microsoft.com/office/word" w:val="12"/>
  </w:compat>
  <w:rsids>
    <w:rsidRoot w:val="004D146B"/>
    <w:rsid w:val="00006299"/>
    <w:rsid w:val="000601C5"/>
    <w:rsid w:val="000621AE"/>
    <w:rsid w:val="00075440"/>
    <w:rsid w:val="00086F83"/>
    <w:rsid w:val="0009562F"/>
    <w:rsid w:val="000A0386"/>
    <w:rsid w:val="000D70B2"/>
    <w:rsid w:val="000E7BA7"/>
    <w:rsid w:val="000F287E"/>
    <w:rsid w:val="0012363D"/>
    <w:rsid w:val="00140E4A"/>
    <w:rsid w:val="00145AE5"/>
    <w:rsid w:val="001A2840"/>
    <w:rsid w:val="001B2A56"/>
    <w:rsid w:val="001B5EB6"/>
    <w:rsid w:val="001D64BC"/>
    <w:rsid w:val="001D69FC"/>
    <w:rsid w:val="001F3FE5"/>
    <w:rsid w:val="00232770"/>
    <w:rsid w:val="0026578E"/>
    <w:rsid w:val="00276785"/>
    <w:rsid w:val="002C0C49"/>
    <w:rsid w:val="002D7FA0"/>
    <w:rsid w:val="002E5F9F"/>
    <w:rsid w:val="002E7372"/>
    <w:rsid w:val="002F0E91"/>
    <w:rsid w:val="003001F2"/>
    <w:rsid w:val="00310E19"/>
    <w:rsid w:val="003257AF"/>
    <w:rsid w:val="00345E78"/>
    <w:rsid w:val="00357D54"/>
    <w:rsid w:val="003A4009"/>
    <w:rsid w:val="003D702A"/>
    <w:rsid w:val="003F48EB"/>
    <w:rsid w:val="003F6A86"/>
    <w:rsid w:val="00400987"/>
    <w:rsid w:val="00411182"/>
    <w:rsid w:val="00441105"/>
    <w:rsid w:val="00452DBD"/>
    <w:rsid w:val="004A4131"/>
    <w:rsid w:val="004A5025"/>
    <w:rsid w:val="004A6A03"/>
    <w:rsid w:val="004B2F2A"/>
    <w:rsid w:val="004B4B29"/>
    <w:rsid w:val="004D146B"/>
    <w:rsid w:val="004D5E9F"/>
    <w:rsid w:val="00500332"/>
    <w:rsid w:val="00504615"/>
    <w:rsid w:val="00513FF7"/>
    <w:rsid w:val="00520066"/>
    <w:rsid w:val="00531044"/>
    <w:rsid w:val="00554E70"/>
    <w:rsid w:val="00582C39"/>
    <w:rsid w:val="005A7B15"/>
    <w:rsid w:val="005B18E1"/>
    <w:rsid w:val="005B213C"/>
    <w:rsid w:val="005D2BF9"/>
    <w:rsid w:val="005E7991"/>
    <w:rsid w:val="00634FC8"/>
    <w:rsid w:val="006A7B8D"/>
    <w:rsid w:val="006D5041"/>
    <w:rsid w:val="006E0A06"/>
    <w:rsid w:val="006F0C9F"/>
    <w:rsid w:val="006F1034"/>
    <w:rsid w:val="006F291C"/>
    <w:rsid w:val="0071206E"/>
    <w:rsid w:val="00712B71"/>
    <w:rsid w:val="007358E0"/>
    <w:rsid w:val="007657A1"/>
    <w:rsid w:val="007702C9"/>
    <w:rsid w:val="007B0740"/>
    <w:rsid w:val="007C6039"/>
    <w:rsid w:val="008030FC"/>
    <w:rsid w:val="00810EB6"/>
    <w:rsid w:val="00895C6E"/>
    <w:rsid w:val="008D38CD"/>
    <w:rsid w:val="008D6DA9"/>
    <w:rsid w:val="008E08D5"/>
    <w:rsid w:val="008F417F"/>
    <w:rsid w:val="00924205"/>
    <w:rsid w:val="00926AB0"/>
    <w:rsid w:val="00935D7E"/>
    <w:rsid w:val="00945BE6"/>
    <w:rsid w:val="00963D91"/>
    <w:rsid w:val="009670E3"/>
    <w:rsid w:val="009933F8"/>
    <w:rsid w:val="009A13A6"/>
    <w:rsid w:val="009C135B"/>
    <w:rsid w:val="009C782A"/>
    <w:rsid w:val="009D2AF7"/>
    <w:rsid w:val="009F18CD"/>
    <w:rsid w:val="00A2391E"/>
    <w:rsid w:val="00A92633"/>
    <w:rsid w:val="00AA0CC5"/>
    <w:rsid w:val="00AB5399"/>
    <w:rsid w:val="00AD3BB5"/>
    <w:rsid w:val="00AE50B9"/>
    <w:rsid w:val="00B84EB2"/>
    <w:rsid w:val="00B91D2E"/>
    <w:rsid w:val="00B930E7"/>
    <w:rsid w:val="00B94642"/>
    <w:rsid w:val="00BB4C68"/>
    <w:rsid w:val="00BD118B"/>
    <w:rsid w:val="00C032CD"/>
    <w:rsid w:val="00C21C10"/>
    <w:rsid w:val="00C261B9"/>
    <w:rsid w:val="00C63052"/>
    <w:rsid w:val="00C6654F"/>
    <w:rsid w:val="00C75D7B"/>
    <w:rsid w:val="00C9496C"/>
    <w:rsid w:val="00CB1A8D"/>
    <w:rsid w:val="00CB4A58"/>
    <w:rsid w:val="00CB75B1"/>
    <w:rsid w:val="00CC7489"/>
    <w:rsid w:val="00CF7BE5"/>
    <w:rsid w:val="00D24B93"/>
    <w:rsid w:val="00D41C46"/>
    <w:rsid w:val="00D52308"/>
    <w:rsid w:val="00D8661D"/>
    <w:rsid w:val="00DC5FA9"/>
    <w:rsid w:val="00DE1232"/>
    <w:rsid w:val="00DE17F9"/>
    <w:rsid w:val="00E16597"/>
    <w:rsid w:val="00EC0BDD"/>
    <w:rsid w:val="00EC7992"/>
    <w:rsid w:val="00EE3BBC"/>
    <w:rsid w:val="00F00B43"/>
    <w:rsid w:val="00F106E2"/>
    <w:rsid w:val="00F210C8"/>
    <w:rsid w:val="00F26364"/>
    <w:rsid w:val="00F26A7C"/>
    <w:rsid w:val="00FA2E62"/>
    <w:rsid w:val="00FB0499"/>
    <w:rsid w:val="00FB426D"/>
    <w:rsid w:val="00FD4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46B"/>
    <w:rPr>
      <w:rFonts w:ascii="Calibri" w:eastAsia="PMingLiU" w:hAnsi="Calibri" w:cs="Times New Roman"/>
      <w:lang w:val="en-US"/>
    </w:rPr>
  </w:style>
  <w:style w:type="paragraph" w:styleId="Heading1">
    <w:name w:val="heading 1"/>
    <w:basedOn w:val="Normal"/>
    <w:next w:val="Normal"/>
    <w:link w:val="Heading1Char"/>
    <w:autoRedefine/>
    <w:uiPriority w:val="99"/>
    <w:qFormat/>
    <w:rsid w:val="00B84EB2"/>
    <w:pPr>
      <w:keepNext/>
      <w:keepLines/>
      <w:spacing w:before="480" w:after="240"/>
      <w:outlineLvl w:val="0"/>
    </w:pPr>
    <w:rPr>
      <w:rFonts w:asciiTheme="majorHAnsi" w:eastAsiaTheme="majorEastAsia" w:hAnsiTheme="majorHAnsi" w:cstheme="majorBidi"/>
      <w:b/>
      <w:bCs/>
      <w:color w:val="365F91" w:themeColor="accent1" w:themeShade="BF"/>
      <w:sz w:val="28"/>
      <w:szCs w:val="28"/>
      <w:lang w:val="en-AU"/>
    </w:rPr>
  </w:style>
  <w:style w:type="paragraph" w:styleId="Heading2">
    <w:name w:val="heading 2"/>
    <w:basedOn w:val="Normal"/>
    <w:next w:val="Normal"/>
    <w:link w:val="Heading2Char"/>
    <w:autoRedefine/>
    <w:qFormat/>
    <w:rsid w:val="007B0740"/>
    <w:pPr>
      <w:keepNext/>
      <w:tabs>
        <w:tab w:val="left" w:pos="709"/>
        <w:tab w:val="left" w:pos="4536"/>
      </w:tabs>
      <w:spacing w:before="120" w:after="120"/>
      <w:outlineLvl w:val="1"/>
    </w:pPr>
    <w:rPr>
      <w:rFonts w:ascii="Arial" w:eastAsia="Times New Roman" w:hAnsi="Arial" w:cs="Arial"/>
      <w:b/>
      <w:bCs/>
      <w:iCs/>
      <w:color w:val="333333"/>
      <w:sz w:val="20"/>
      <w:szCs w:val="18"/>
      <w:lang w:val="en"/>
    </w:rPr>
  </w:style>
  <w:style w:type="paragraph" w:styleId="Heading3">
    <w:name w:val="heading 3"/>
    <w:basedOn w:val="Normal"/>
    <w:next w:val="Normal"/>
    <w:link w:val="Heading3Char"/>
    <w:autoRedefine/>
    <w:uiPriority w:val="9"/>
    <w:unhideWhenUsed/>
    <w:qFormat/>
    <w:rsid w:val="00006299"/>
    <w:pPr>
      <w:keepNext/>
      <w:keepLines/>
      <w:spacing w:before="200"/>
      <w:outlineLvl w:val="2"/>
    </w:pPr>
    <w:rPr>
      <w:rFonts w:ascii="Times New Roman" w:eastAsiaTheme="majorEastAsia" w:hAnsi="Times New Roman" w:cstheme="majorBidi"/>
      <w:bCs/>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Heading2"/>
    <w:link w:val="FigureChar"/>
    <w:autoRedefine/>
    <w:qFormat/>
    <w:rsid w:val="001F3FE5"/>
    <w:rPr>
      <w:lang w:val="en-NZ"/>
    </w:rPr>
  </w:style>
  <w:style w:type="character" w:customStyle="1" w:styleId="Heading2Char">
    <w:name w:val="Heading 2 Char"/>
    <w:basedOn w:val="DefaultParagraphFont"/>
    <w:link w:val="Heading2"/>
    <w:rsid w:val="007B0740"/>
    <w:rPr>
      <w:rFonts w:ascii="Arial" w:eastAsia="Times New Roman" w:hAnsi="Arial" w:cs="Arial"/>
      <w:b/>
      <w:bCs/>
      <w:iCs/>
      <w:color w:val="333333"/>
      <w:sz w:val="20"/>
      <w:szCs w:val="18"/>
      <w:lang w:val="en" w:eastAsia="en-NZ"/>
    </w:rPr>
  </w:style>
  <w:style w:type="character" w:customStyle="1" w:styleId="FigureChar">
    <w:name w:val="Figure Char"/>
    <w:basedOn w:val="Heading2Char"/>
    <w:link w:val="Figure"/>
    <w:rsid w:val="001F3FE5"/>
    <w:rPr>
      <w:rFonts w:asciiTheme="majorHAnsi" w:eastAsia="Times New Roman" w:hAnsiTheme="majorHAnsi" w:cstheme="minorHAnsi"/>
      <w:b/>
      <w:bCs/>
      <w:iCs/>
      <w:color w:val="333333"/>
      <w:sz w:val="24"/>
      <w:szCs w:val="28"/>
      <w:lang w:val="en-NZ" w:eastAsia="en-NZ"/>
    </w:rPr>
  </w:style>
  <w:style w:type="paragraph" w:customStyle="1" w:styleId="Table">
    <w:name w:val="Table"/>
    <w:basedOn w:val="Heading2"/>
    <w:autoRedefine/>
    <w:qFormat/>
    <w:rsid w:val="00441105"/>
    <w:pPr>
      <w:spacing w:line="240" w:lineRule="auto"/>
      <w:contextualSpacing/>
    </w:pPr>
    <w:rPr>
      <w:lang w:val="en-NZ"/>
    </w:rPr>
  </w:style>
  <w:style w:type="character" w:customStyle="1" w:styleId="Heading3Char">
    <w:name w:val="Heading 3 Char"/>
    <w:basedOn w:val="DefaultParagraphFont"/>
    <w:link w:val="Heading3"/>
    <w:uiPriority w:val="9"/>
    <w:rsid w:val="00006299"/>
    <w:rPr>
      <w:rFonts w:ascii="Times New Roman" w:eastAsiaTheme="majorEastAsia" w:hAnsi="Times New Roman" w:cstheme="majorBidi"/>
      <w:bCs/>
      <w:i/>
    </w:rPr>
  </w:style>
  <w:style w:type="character" w:customStyle="1" w:styleId="Heading1Char">
    <w:name w:val="Heading 1 Char"/>
    <w:basedOn w:val="DefaultParagraphFont"/>
    <w:link w:val="Heading1"/>
    <w:uiPriority w:val="99"/>
    <w:rsid w:val="00B84EB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autoRedefine/>
    <w:uiPriority w:val="10"/>
    <w:qFormat/>
    <w:rsid w:val="00712B71"/>
    <w:pPr>
      <w:spacing w:before="120" w:after="120" w:line="240" w:lineRule="auto"/>
    </w:pPr>
    <w:rPr>
      <w:rFonts w:asciiTheme="majorHAnsi" w:eastAsiaTheme="majorEastAsia" w:hAnsiTheme="majorHAnsi" w:cstheme="majorBidi"/>
      <w:b/>
      <w:spacing w:val="5"/>
      <w:kern w:val="28"/>
      <w:sz w:val="24"/>
      <w:szCs w:val="52"/>
      <w:lang w:val="en-AU"/>
    </w:rPr>
  </w:style>
  <w:style w:type="character" w:customStyle="1" w:styleId="TitleChar">
    <w:name w:val="Title Char"/>
    <w:basedOn w:val="DefaultParagraphFont"/>
    <w:link w:val="Title"/>
    <w:uiPriority w:val="10"/>
    <w:rsid w:val="00712B71"/>
    <w:rPr>
      <w:rFonts w:asciiTheme="majorHAnsi" w:eastAsiaTheme="majorEastAsia" w:hAnsiTheme="majorHAnsi" w:cstheme="majorBidi"/>
      <w:b/>
      <w:spacing w:val="5"/>
      <w:kern w:val="28"/>
      <w:sz w:val="24"/>
      <w:szCs w:val="52"/>
    </w:rPr>
  </w:style>
  <w:style w:type="paragraph" w:customStyle="1" w:styleId="Tablefigurelocation">
    <w:name w:val="Table/figure location"/>
    <w:basedOn w:val="Normal"/>
    <w:autoRedefine/>
    <w:qFormat/>
    <w:rsid w:val="00B94642"/>
    <w:pPr>
      <w:spacing w:before="200"/>
    </w:pPr>
    <w:rPr>
      <w:rFonts w:eastAsia="Calibri" w:cs="Consolas"/>
      <w:b/>
    </w:rPr>
  </w:style>
  <w:style w:type="paragraph" w:customStyle="1" w:styleId="xl151">
    <w:name w:val="xl151"/>
    <w:basedOn w:val="Normal"/>
    <w:autoRedefine/>
    <w:qFormat/>
    <w:rsid w:val="00FA2E62"/>
    <w:pPr>
      <w:pBdr>
        <w:right w:val="single" w:sz="4" w:space="0" w:color="auto"/>
      </w:pBdr>
      <w:spacing w:before="120" w:after="120" w:line="240" w:lineRule="auto"/>
      <w:textAlignment w:val="top"/>
    </w:pPr>
    <w:rPr>
      <w:rFonts w:ascii="Times New Roman" w:eastAsia="Times New Roman" w:hAnsi="Times New Roman"/>
      <w:b/>
      <w:bCs/>
      <w:sz w:val="28"/>
      <w:szCs w:val="28"/>
      <w:lang w:eastAsia="en-AU"/>
    </w:rPr>
  </w:style>
  <w:style w:type="table" w:styleId="LightShading">
    <w:name w:val="Light Shading"/>
    <w:basedOn w:val="TableNormal"/>
    <w:uiPriority w:val="60"/>
    <w:rsid w:val="00D8661D"/>
    <w:pPr>
      <w:spacing w:after="0" w:line="240" w:lineRule="auto"/>
    </w:pPr>
    <w:rPr>
      <w:color w:val="000000" w:themeColor="text1" w:themeShade="BF"/>
      <w:lang w:val="en-NZ"/>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
    <w:name w:val="Text"/>
    <w:basedOn w:val="Normal"/>
    <w:autoRedefine/>
    <w:qFormat/>
    <w:rsid w:val="00712B71"/>
    <w:rPr>
      <w:sz w:val="24"/>
      <w:szCs w:val="24"/>
    </w:rPr>
  </w:style>
  <w:style w:type="paragraph" w:styleId="ListParagraph">
    <w:name w:val="List Paragraph"/>
    <w:basedOn w:val="Normal"/>
    <w:uiPriority w:val="34"/>
    <w:qFormat/>
    <w:rsid w:val="004D146B"/>
    <w:pPr>
      <w:ind w:left="720"/>
      <w:contextualSpacing/>
    </w:pPr>
  </w:style>
  <w:style w:type="character" w:styleId="Hyperlink">
    <w:name w:val="Hyperlink"/>
    <w:uiPriority w:val="99"/>
    <w:rsid w:val="004D146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ki.en.eastview.com/kns50/single_index.aspx" TargetMode="External"/><Relationship Id="rId3" Type="http://schemas.microsoft.com/office/2007/relationships/stylesWithEffects" Target="stylesWithEffects.xml"/><Relationship Id="rId7" Type="http://schemas.openxmlformats.org/officeDocument/2006/relationships/hyperlink" Target="http://www.bu.edu/wa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archdatabase.org.z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ogle.com/scholar" TargetMode="External"/><Relationship Id="rId4" Type="http://schemas.openxmlformats.org/officeDocument/2006/relationships/settings" Target="settings.xml"/><Relationship Id="rId9" Type="http://schemas.openxmlformats.org/officeDocument/2006/relationships/hyperlink" Target="http://www.panteleim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baxtera</dc:creator>
  <cp:lastModifiedBy>baxtera</cp:lastModifiedBy>
  <cp:revision>5</cp:revision>
  <dcterms:created xsi:type="dcterms:W3CDTF">2013-05-06T04:51:00Z</dcterms:created>
  <dcterms:modified xsi:type="dcterms:W3CDTF">2013-05-10T01:18:00Z</dcterms:modified>
</cp:coreProperties>
</file>