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07F9" w14:textId="38D872C5" w:rsidR="00EC6678" w:rsidRPr="000522C1" w:rsidRDefault="000D0B09" w:rsidP="00EC6678">
      <w:pPr>
        <w:spacing w:after="0"/>
        <w:rPr>
          <w:rFonts w:ascii="Times New Roman" w:hAnsi="Times New Roman" w:cs="Times New Roman"/>
          <w:b/>
          <w:bCs/>
        </w:rPr>
      </w:pPr>
      <w:r w:rsidRPr="000522C1">
        <w:rPr>
          <w:rFonts w:ascii="Times New Roman" w:hAnsi="Times New Roman" w:cs="Times New Roman"/>
          <w:b/>
          <w:bCs/>
        </w:rPr>
        <w:t>SUPPLEMENTA</w:t>
      </w:r>
      <w:r w:rsidR="00471568" w:rsidRPr="000522C1">
        <w:rPr>
          <w:rFonts w:ascii="Times New Roman" w:hAnsi="Times New Roman" w:cs="Times New Roman"/>
          <w:b/>
          <w:bCs/>
        </w:rPr>
        <w:t>L</w:t>
      </w:r>
      <w:r w:rsidRPr="000522C1">
        <w:rPr>
          <w:rFonts w:ascii="Times New Roman" w:hAnsi="Times New Roman" w:cs="Times New Roman"/>
          <w:b/>
          <w:bCs/>
        </w:rPr>
        <w:t xml:space="preserve"> MATERIAL</w:t>
      </w:r>
      <w:r w:rsidR="00471568" w:rsidRPr="000522C1">
        <w:rPr>
          <w:rFonts w:ascii="Times New Roman" w:hAnsi="Times New Roman" w:cs="Times New Roman"/>
          <w:b/>
          <w:bCs/>
        </w:rPr>
        <w:t>S</w:t>
      </w:r>
    </w:p>
    <w:p w14:paraId="6989AB6A" w14:textId="0F4F37D6" w:rsidR="00F903F2" w:rsidRPr="000522C1" w:rsidRDefault="00F903F2" w:rsidP="00F903F2">
      <w:pPr>
        <w:spacing w:after="0"/>
        <w:rPr>
          <w:rFonts w:ascii="Times New Roman" w:hAnsi="Times New Roman" w:cs="Times New Roman"/>
        </w:rPr>
      </w:pPr>
      <w:proofErr w:type="spellStart"/>
      <w:r w:rsidRPr="000522C1">
        <w:rPr>
          <w:rFonts w:ascii="Times New Roman" w:hAnsi="Times New Roman" w:cs="Times New Roman"/>
        </w:rPr>
        <w:t>Polyhydroxyalkanoate</w:t>
      </w:r>
      <w:proofErr w:type="spellEnd"/>
      <w:r w:rsidRPr="000522C1">
        <w:rPr>
          <w:rFonts w:ascii="Times New Roman" w:hAnsi="Times New Roman" w:cs="Times New Roman"/>
        </w:rPr>
        <w:t xml:space="preserve"> </w:t>
      </w:r>
      <w:r w:rsidR="000522C1">
        <w:rPr>
          <w:rFonts w:ascii="Times New Roman" w:hAnsi="Times New Roman" w:cs="Times New Roman"/>
        </w:rPr>
        <w:t>p</w:t>
      </w:r>
      <w:r w:rsidRPr="000522C1">
        <w:rPr>
          <w:rFonts w:ascii="Times New Roman" w:hAnsi="Times New Roman" w:cs="Times New Roman"/>
        </w:rPr>
        <w:t xml:space="preserve">roduction in </w:t>
      </w:r>
      <w:r w:rsidRPr="000522C1">
        <w:rPr>
          <w:rFonts w:ascii="Times New Roman" w:hAnsi="Times New Roman" w:cs="Times New Roman"/>
          <w:i/>
          <w:iCs/>
        </w:rPr>
        <w:t>Pseudomonas putida</w:t>
      </w:r>
      <w:r w:rsidRPr="000522C1">
        <w:rPr>
          <w:rFonts w:ascii="Times New Roman" w:hAnsi="Times New Roman" w:cs="Times New Roman"/>
        </w:rPr>
        <w:t xml:space="preserve"> from </w:t>
      </w:r>
      <w:r w:rsidR="000522C1">
        <w:rPr>
          <w:rFonts w:ascii="Times New Roman" w:hAnsi="Times New Roman" w:cs="Times New Roman"/>
        </w:rPr>
        <w:t>a</w:t>
      </w:r>
      <w:r w:rsidR="000522C1" w:rsidRPr="000522C1">
        <w:rPr>
          <w:rFonts w:ascii="Times New Roman" w:hAnsi="Times New Roman" w:cs="Times New Roman"/>
        </w:rPr>
        <w:t xml:space="preserve">lkanoic </w:t>
      </w:r>
      <w:r w:rsidR="000522C1">
        <w:rPr>
          <w:rFonts w:ascii="Times New Roman" w:hAnsi="Times New Roman" w:cs="Times New Roman"/>
        </w:rPr>
        <w:t>a</w:t>
      </w:r>
      <w:r w:rsidR="000522C1" w:rsidRPr="000522C1">
        <w:rPr>
          <w:rFonts w:ascii="Times New Roman" w:hAnsi="Times New Roman" w:cs="Times New Roman"/>
        </w:rPr>
        <w:t>cids</w:t>
      </w:r>
      <w:r w:rsidR="006B773D">
        <w:rPr>
          <w:rFonts w:ascii="Times New Roman" w:hAnsi="Times New Roman" w:cs="Times New Roman"/>
        </w:rPr>
        <w:t xml:space="preserve"> of varying lengths</w:t>
      </w:r>
    </w:p>
    <w:p w14:paraId="55B01C46" w14:textId="75DBA781" w:rsidR="00EC6678" w:rsidRPr="000522C1" w:rsidRDefault="00F903F2" w:rsidP="00F903F2">
      <w:pPr>
        <w:spacing w:after="0"/>
        <w:rPr>
          <w:rFonts w:ascii="Times New Roman" w:hAnsi="Times New Roman" w:cs="Times New Roman"/>
        </w:rPr>
      </w:pPr>
      <w:r w:rsidRPr="000522C1">
        <w:rPr>
          <w:rFonts w:ascii="Times New Roman" w:hAnsi="Times New Roman" w:cs="Times New Roman"/>
        </w:rPr>
        <w:t xml:space="preserve">W. Dirk Sikkema, Andrew J. Cal, Upul I. Hathwaik, William J. Orts, and Charles C. Lee  </w:t>
      </w:r>
    </w:p>
    <w:p w14:paraId="2BFBCC5C" w14:textId="77777777" w:rsidR="00F903F2" w:rsidRPr="000522C1" w:rsidRDefault="00F903F2" w:rsidP="00EC6678">
      <w:pPr>
        <w:spacing w:after="0"/>
        <w:rPr>
          <w:rFonts w:ascii="Times New Roman" w:hAnsi="Times New Roman" w:cs="Times New Roman"/>
        </w:rPr>
      </w:pPr>
    </w:p>
    <w:p w14:paraId="14AE9F35" w14:textId="5CDFE2EE" w:rsidR="00EC6678" w:rsidRPr="000522C1" w:rsidRDefault="00B87485" w:rsidP="00EC6678">
      <w:pPr>
        <w:spacing w:after="0"/>
        <w:rPr>
          <w:rFonts w:ascii="Times New Roman" w:hAnsi="Times New Roman" w:cs="Times New Roman"/>
          <w:b/>
          <w:bCs/>
        </w:rPr>
      </w:pPr>
      <w:r w:rsidRPr="000522C1">
        <w:rPr>
          <w:rFonts w:ascii="Times New Roman" w:hAnsi="Times New Roman" w:cs="Times New Roman"/>
          <w:b/>
          <w:bCs/>
        </w:rPr>
        <w:t xml:space="preserve">S1 File. </w:t>
      </w:r>
      <w:r w:rsidR="00EC6678" w:rsidRPr="000522C1">
        <w:rPr>
          <w:rFonts w:ascii="Times New Roman" w:hAnsi="Times New Roman" w:cs="Times New Roman"/>
          <w:b/>
          <w:bCs/>
        </w:rPr>
        <w:t xml:space="preserve">Comparing internal </w:t>
      </w:r>
      <w:r w:rsidR="00805961" w:rsidRPr="000522C1">
        <w:rPr>
          <w:rFonts w:ascii="Times New Roman" w:hAnsi="Times New Roman" w:cs="Times New Roman"/>
          <w:b/>
          <w:bCs/>
        </w:rPr>
        <w:t xml:space="preserve">standard reference factors to </w:t>
      </w:r>
      <w:r w:rsidR="00EC6678" w:rsidRPr="000522C1">
        <w:rPr>
          <w:rFonts w:ascii="Times New Roman" w:hAnsi="Times New Roman" w:cs="Times New Roman"/>
          <w:b/>
          <w:bCs/>
        </w:rPr>
        <w:t xml:space="preserve">external standard </w:t>
      </w:r>
      <w:r w:rsidR="00805961" w:rsidRPr="000522C1">
        <w:rPr>
          <w:rFonts w:ascii="Times New Roman" w:hAnsi="Times New Roman" w:cs="Times New Roman"/>
          <w:b/>
          <w:bCs/>
        </w:rPr>
        <w:t xml:space="preserve">method </w:t>
      </w:r>
      <w:r w:rsidR="00EC6678" w:rsidRPr="000522C1">
        <w:rPr>
          <w:rFonts w:ascii="Times New Roman" w:hAnsi="Times New Roman" w:cs="Times New Roman"/>
          <w:b/>
          <w:bCs/>
        </w:rPr>
        <w:t>for GC/MS analysis.</w:t>
      </w:r>
    </w:p>
    <w:p w14:paraId="6CE850E0" w14:textId="77777777" w:rsidR="00EC6678" w:rsidRPr="000522C1" w:rsidRDefault="00EC6678" w:rsidP="00EC6678">
      <w:pPr>
        <w:spacing w:after="0"/>
        <w:rPr>
          <w:rFonts w:ascii="Times New Roman" w:hAnsi="Times New Roman" w:cs="Times New Roman"/>
        </w:rPr>
      </w:pPr>
    </w:p>
    <w:p w14:paraId="78D1560F" w14:textId="10F0CC6B" w:rsidR="000431BF" w:rsidRPr="000522C1" w:rsidRDefault="00EC6678" w:rsidP="00EC6678">
      <w:pPr>
        <w:spacing w:after="0"/>
        <w:rPr>
          <w:rFonts w:ascii="Times New Roman" w:hAnsi="Times New Roman" w:cs="Times New Roman"/>
        </w:rPr>
      </w:pPr>
      <w:r w:rsidRPr="000522C1">
        <w:rPr>
          <w:rFonts w:ascii="Times New Roman" w:hAnsi="Times New Roman" w:cs="Times New Roman"/>
        </w:rPr>
        <w:t>T</w:t>
      </w:r>
      <w:r w:rsidR="000431BF" w:rsidRPr="000522C1">
        <w:rPr>
          <w:rFonts w:ascii="Times New Roman" w:hAnsi="Times New Roman" w:cs="Times New Roman"/>
        </w:rPr>
        <w:t xml:space="preserve">he typical GC/MS method of quantification uses benzoic acid as an internal standard.  </w:t>
      </w:r>
      <w:r w:rsidRPr="000522C1">
        <w:rPr>
          <w:rFonts w:ascii="Times New Roman" w:hAnsi="Times New Roman" w:cs="Times New Roman"/>
        </w:rPr>
        <w:t xml:space="preserve">The below table uses a wide range of </w:t>
      </w:r>
      <w:r w:rsidR="006F6844" w:rsidRPr="000522C1">
        <w:rPr>
          <w:rFonts w:ascii="Times New Roman" w:hAnsi="Times New Roman" w:cs="Times New Roman"/>
        </w:rPr>
        <w:t>sample</w:t>
      </w:r>
      <w:r w:rsidRPr="000522C1">
        <w:rPr>
          <w:rFonts w:ascii="Times New Roman" w:hAnsi="Times New Roman" w:cs="Times New Roman"/>
        </w:rPr>
        <w:t xml:space="preserve"> (octano</w:t>
      </w:r>
      <w:r w:rsidR="000D0B09" w:rsidRPr="000522C1">
        <w:rPr>
          <w:rFonts w:ascii="Times New Roman" w:hAnsi="Times New Roman" w:cs="Times New Roman"/>
        </w:rPr>
        <w:t>ate</w:t>
      </w:r>
      <w:r w:rsidRPr="000522C1">
        <w:rPr>
          <w:rFonts w:ascii="Times New Roman" w:hAnsi="Times New Roman" w:cs="Times New Roman"/>
        </w:rPr>
        <w:t>) and a constant amount of benzoic acid</w:t>
      </w:r>
      <w:r w:rsidR="006F6844" w:rsidRPr="000522C1">
        <w:rPr>
          <w:rFonts w:ascii="Times New Roman" w:hAnsi="Times New Roman" w:cs="Times New Roman"/>
        </w:rPr>
        <w:t>. As can be seen, depending on the amount of sample, the response factor</w:t>
      </w:r>
      <w:r w:rsidR="000D0B09" w:rsidRPr="000522C1">
        <w:rPr>
          <w:rFonts w:ascii="Times New Roman" w:hAnsi="Times New Roman" w:cs="Times New Roman"/>
        </w:rPr>
        <w:t xml:space="preserve"> (RF)</w:t>
      </w:r>
      <w:r w:rsidR="006F6844" w:rsidRPr="000522C1">
        <w:rPr>
          <w:rFonts w:ascii="Times New Roman" w:hAnsi="Times New Roman" w:cs="Times New Roman"/>
        </w:rPr>
        <w:t xml:space="preserve"> varies significantly</w:t>
      </w:r>
      <w:r w:rsidR="00805961" w:rsidRPr="000522C1">
        <w:rPr>
          <w:rFonts w:ascii="Times New Roman" w:hAnsi="Times New Roman" w:cs="Times New Roman"/>
        </w:rPr>
        <w:t xml:space="preserve"> with decreasing values as less sample is used</w:t>
      </w:r>
      <w:r w:rsidR="006F6844" w:rsidRPr="000522C1">
        <w:rPr>
          <w:rFonts w:ascii="Times New Roman" w:hAnsi="Times New Roman" w:cs="Times New Roman"/>
        </w:rPr>
        <w:t>. An average of the response factors was used for our analysis. However, if a study were to use a</w:t>
      </w:r>
      <w:r w:rsidR="00805961" w:rsidRPr="000522C1">
        <w:rPr>
          <w:rFonts w:ascii="Times New Roman" w:hAnsi="Times New Roman" w:cs="Times New Roman"/>
        </w:rPr>
        <w:t>n RF</w:t>
      </w:r>
      <w:r w:rsidR="006F6844" w:rsidRPr="000522C1">
        <w:rPr>
          <w:rFonts w:ascii="Times New Roman" w:hAnsi="Times New Roman" w:cs="Times New Roman"/>
        </w:rPr>
        <w:t xml:space="preserve"> derived solely from a single amount of sample, the results would vary widely depending on the amount of sample used.</w:t>
      </w:r>
      <w:r w:rsidR="000D0B09" w:rsidRPr="000522C1">
        <w:rPr>
          <w:rFonts w:ascii="Times New Roman" w:hAnsi="Times New Roman" w:cs="Times New Roman"/>
        </w:rPr>
        <w:t xml:space="preserve"> </w:t>
      </w:r>
      <w:r w:rsidR="00286862" w:rsidRPr="000522C1">
        <w:rPr>
          <w:rFonts w:ascii="Times New Roman" w:hAnsi="Times New Roman" w:cs="Times New Roman"/>
        </w:rPr>
        <w:t xml:space="preserve">Thus, it would be useful for studies to explicitly describe how </w:t>
      </w:r>
      <w:r w:rsidR="00805961" w:rsidRPr="000522C1">
        <w:rPr>
          <w:rFonts w:ascii="Times New Roman" w:hAnsi="Times New Roman" w:cs="Times New Roman"/>
        </w:rPr>
        <w:t xml:space="preserve">their </w:t>
      </w:r>
      <w:r w:rsidR="00286862" w:rsidRPr="000522C1">
        <w:rPr>
          <w:rFonts w:ascii="Times New Roman" w:hAnsi="Times New Roman" w:cs="Times New Roman"/>
        </w:rPr>
        <w:t xml:space="preserve">RF values </w:t>
      </w:r>
      <w:r w:rsidR="00805961" w:rsidRPr="000522C1">
        <w:rPr>
          <w:rFonts w:ascii="Times New Roman" w:hAnsi="Times New Roman" w:cs="Times New Roman"/>
        </w:rPr>
        <w:t>we</w:t>
      </w:r>
      <w:r w:rsidR="00286862" w:rsidRPr="000522C1">
        <w:rPr>
          <w:rFonts w:ascii="Times New Roman" w:hAnsi="Times New Roman" w:cs="Times New Roman"/>
        </w:rPr>
        <w:t>re calculated when using an internal standard.</w:t>
      </w:r>
    </w:p>
    <w:p w14:paraId="5ADBE0E3" w14:textId="77777777" w:rsidR="006F6844" w:rsidRPr="000522C1" w:rsidRDefault="006F6844" w:rsidP="00EC6678">
      <w:pPr>
        <w:spacing w:after="0"/>
        <w:rPr>
          <w:rFonts w:ascii="Times New Roman" w:hAnsi="Times New Roman" w:cs="Times New Roman"/>
        </w:rPr>
      </w:pPr>
    </w:p>
    <w:tbl>
      <w:tblPr>
        <w:tblW w:w="6405" w:type="dxa"/>
        <w:tblInd w:w="-15" w:type="dxa"/>
        <w:tblLook w:val="04A0" w:firstRow="1" w:lastRow="0" w:firstColumn="1" w:lastColumn="0" w:noHBand="0" w:noVBand="1"/>
      </w:tblPr>
      <w:tblGrid>
        <w:gridCol w:w="1080"/>
        <w:gridCol w:w="1080"/>
        <w:gridCol w:w="1275"/>
        <w:gridCol w:w="1350"/>
        <w:gridCol w:w="688"/>
        <w:gridCol w:w="932"/>
      </w:tblGrid>
      <w:tr w:rsidR="000431BF" w:rsidRPr="00B87485" w14:paraId="1ABE34B9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77F6" w14:textId="24C24A3E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CB3E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F02D" w14:textId="55698E55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C258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7532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E717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1BF" w:rsidRPr="00B87485" w14:paraId="2C8DD80C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6F1B" w14:textId="4029C70B" w:rsidR="000431BF" w:rsidRPr="000522C1" w:rsidRDefault="006F6844" w:rsidP="006F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Sample (mg)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26BE" w14:textId="443489DF" w:rsidR="000431BF" w:rsidRPr="000522C1" w:rsidRDefault="006F6844" w:rsidP="006F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Sample-area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08E2" w14:textId="6A36DA82" w:rsidR="000431BF" w:rsidRPr="000522C1" w:rsidRDefault="006F6844" w:rsidP="006F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Benzoic acid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B957" w14:textId="2FC6A65A" w:rsidR="000431BF" w:rsidRPr="000522C1" w:rsidRDefault="006F6844" w:rsidP="006F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Benzoic acid</w:t>
            </w:r>
            <w:r w:rsidR="000431BF"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2662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4707" w14:textId="77777777" w:rsidR="000431BF" w:rsidRPr="000522C1" w:rsidRDefault="000431BF" w:rsidP="00B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RF</w:t>
            </w:r>
          </w:p>
        </w:tc>
      </w:tr>
      <w:tr w:rsidR="000431BF" w:rsidRPr="00B87485" w14:paraId="6846951F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0B9D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7C45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7154552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5508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F862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6354157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B7B3" w14:textId="77777777" w:rsidR="000431BF" w:rsidRPr="000522C1" w:rsidRDefault="000431BF" w:rsidP="002D6138">
            <w:pPr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F750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1.8062</w:t>
            </w:r>
          </w:p>
        </w:tc>
      </w:tr>
      <w:tr w:rsidR="000431BF" w:rsidRPr="00B87485" w14:paraId="3CE27A0D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B707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6F8B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10978020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05D5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8A28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6497496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8D7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3E72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2.4074</w:t>
            </w:r>
          </w:p>
        </w:tc>
      </w:tr>
      <w:tr w:rsidR="000431BF" w:rsidRPr="00B87485" w14:paraId="76675F93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0802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12EA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15840322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5AD8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0760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6417728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F844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356D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2.4719</w:t>
            </w:r>
          </w:p>
        </w:tc>
      </w:tr>
      <w:tr w:rsidR="000431BF" w:rsidRPr="00B87485" w14:paraId="7A5F152B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8774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737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19438553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501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29DF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6497886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38D7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4800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2.7194</w:t>
            </w:r>
          </w:p>
        </w:tc>
      </w:tr>
      <w:tr w:rsidR="000431BF" w:rsidRPr="00B87485" w14:paraId="3598F334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056A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7179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23158328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111D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5D6D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5960926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FAE9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8E18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2.6174</w:t>
            </w:r>
          </w:p>
        </w:tc>
      </w:tr>
      <w:tr w:rsidR="000431BF" w:rsidRPr="00B87485" w14:paraId="172E7F0E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EC7B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F550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6458230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D49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1047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6321033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690E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2231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2.0062</w:t>
            </w:r>
          </w:p>
        </w:tc>
      </w:tr>
      <w:tr w:rsidR="000431BF" w:rsidRPr="00B87485" w14:paraId="7B7CEA6C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F9F9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C701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11042603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73D0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D58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6145054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0D4F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8B68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2.2813</w:t>
            </w:r>
          </w:p>
        </w:tc>
      </w:tr>
      <w:tr w:rsidR="000431BF" w:rsidRPr="00B87485" w14:paraId="6F71C015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22AE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20FD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15514272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5118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E59F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6408080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BC23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471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2.5399</w:t>
            </w:r>
          </w:p>
        </w:tc>
      </w:tr>
      <w:tr w:rsidR="000431BF" w:rsidRPr="00B87485" w14:paraId="6A04E28D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C755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02B1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19222628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E8B0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7E1B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6479172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74D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187B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2.7635</w:t>
            </w:r>
          </w:p>
        </w:tc>
      </w:tr>
      <w:tr w:rsidR="000431BF" w:rsidRPr="00B87485" w14:paraId="0804613C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1A15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6FD1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21475914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9D1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280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6571086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4E7B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B78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3.1358</w:t>
            </w:r>
          </w:p>
        </w:tc>
      </w:tr>
      <w:tr w:rsidR="000431BF" w:rsidRPr="00B87485" w14:paraId="65FD6DFC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F970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11D6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6962706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F18A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412F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7129930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59E7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C4BE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2.0626</w:t>
            </w:r>
          </w:p>
        </w:tc>
      </w:tr>
      <w:tr w:rsidR="000431BF" w:rsidRPr="00B87485" w14:paraId="009966C8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48E5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5CB3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11442910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FAE6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020E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6736394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9BEA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4F21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2.3715</w:t>
            </w:r>
          </w:p>
        </w:tc>
      </w:tr>
      <w:tr w:rsidR="000431BF" w:rsidRPr="00B87485" w14:paraId="7D75BF8E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A634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DE6D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16565477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D028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547A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7486021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A886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D088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2.7307</w:t>
            </w:r>
          </w:p>
        </w:tc>
      </w:tr>
      <w:tr w:rsidR="000431BF" w:rsidRPr="00B87485" w14:paraId="0EAA10CB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95B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1D8B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21487738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4BF1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2C80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7612642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FD13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7BD2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2.8544</w:t>
            </w:r>
          </w:p>
        </w:tc>
      </w:tr>
      <w:tr w:rsidR="000431BF" w:rsidRPr="00B87485" w14:paraId="2587A10B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E5A2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3FEE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25090213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83A0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55C3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7847704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DC01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D4C1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3.1500</w:t>
            </w:r>
          </w:p>
        </w:tc>
      </w:tr>
      <w:tr w:rsidR="000431BF" w:rsidRPr="00B87485" w14:paraId="4F69B2B4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EDE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6926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8360168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BEA9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036E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7098147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8F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43BF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1.8368</w:t>
            </w:r>
          </w:p>
        </w:tc>
      </w:tr>
      <w:tr w:rsidR="000431BF" w:rsidRPr="00B87485" w14:paraId="65C00489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85B3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E37F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14074853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2CD8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2CAA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7417679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598F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C10D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2.2803</w:t>
            </w:r>
          </w:p>
        </w:tc>
      </w:tr>
      <w:tr w:rsidR="000431BF" w:rsidRPr="00B87485" w14:paraId="51CCF289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DC6E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2794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18018698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1469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CA1A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7269683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05A3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0EEA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2.6185</w:t>
            </w:r>
          </w:p>
        </w:tc>
      </w:tr>
      <w:tr w:rsidR="000431BF" w:rsidRPr="00B87485" w14:paraId="35A67185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4F35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6B24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21418958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F11D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9F62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7326971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45C4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4EC3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2.9602</w:t>
            </w:r>
          </w:p>
        </w:tc>
      </w:tr>
      <w:tr w:rsidR="000431BF" w:rsidRPr="00B87485" w14:paraId="691E2AAE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DD9F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0297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30644821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2EE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0C4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7235733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D0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3376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2.5541</w:t>
            </w:r>
          </w:p>
        </w:tc>
      </w:tr>
      <w:tr w:rsidR="000431BF" w:rsidRPr="00B87485" w14:paraId="1411E877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5DE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6BA0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BB21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D14F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81F7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B865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1BF" w:rsidRPr="00B87485" w14:paraId="0A46421C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D4AE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A93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F832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51E2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1C06" w14:textId="77777777" w:rsidR="000431BF" w:rsidRPr="000522C1" w:rsidRDefault="000431BF" w:rsidP="002D6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F29D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2.5084</w:t>
            </w:r>
          </w:p>
        </w:tc>
      </w:tr>
      <w:tr w:rsidR="000431BF" w:rsidRPr="00B87485" w14:paraId="64A569C7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F42E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518B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0A41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2167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3254" w14:textId="77777777" w:rsidR="000431BF" w:rsidRPr="000522C1" w:rsidRDefault="000431BF" w:rsidP="002D6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860C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</w:tr>
      <w:tr w:rsidR="000431BF" w:rsidRPr="00B87485" w14:paraId="51B31C99" w14:textId="77777777" w:rsidTr="00B537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D507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504C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5CE2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2BCF" w14:textId="77777777" w:rsidR="000431BF" w:rsidRPr="000522C1" w:rsidRDefault="000431BF" w:rsidP="00E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78A5" w14:textId="77777777" w:rsidR="000431BF" w:rsidRPr="000522C1" w:rsidRDefault="000431BF" w:rsidP="002D6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CV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209D" w14:textId="77777777" w:rsidR="000431BF" w:rsidRPr="000522C1" w:rsidRDefault="000431BF" w:rsidP="00E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15.42</w:t>
            </w:r>
          </w:p>
        </w:tc>
      </w:tr>
    </w:tbl>
    <w:p w14:paraId="0E59529B" w14:textId="77777777" w:rsidR="000D0B09" w:rsidRPr="000522C1" w:rsidRDefault="000D0B09" w:rsidP="00EC667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AEA35" w14:textId="77777777" w:rsidR="000D0B09" w:rsidRPr="000522C1" w:rsidRDefault="000D0B09" w:rsidP="00EC667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9B9479" w14:textId="6B1A6441" w:rsidR="000D0B09" w:rsidRPr="000522C1" w:rsidRDefault="000D0B09" w:rsidP="000D0B09">
      <w:pPr>
        <w:spacing w:after="0"/>
        <w:rPr>
          <w:rFonts w:ascii="Times New Roman" w:hAnsi="Times New Roman" w:cs="Times New Roman"/>
        </w:rPr>
      </w:pPr>
      <w:r w:rsidRPr="000522C1">
        <w:rPr>
          <w:rFonts w:ascii="Times New Roman" w:hAnsi="Times New Roman" w:cs="Times New Roman"/>
        </w:rPr>
        <w:t xml:space="preserve">In contrast, using an external standard is </w:t>
      </w:r>
      <w:proofErr w:type="gramStart"/>
      <w:r w:rsidRPr="000522C1">
        <w:rPr>
          <w:rFonts w:ascii="Times New Roman" w:hAnsi="Times New Roman" w:cs="Times New Roman"/>
        </w:rPr>
        <w:t>fairly linear</w:t>
      </w:r>
      <w:proofErr w:type="gramEnd"/>
      <w:r w:rsidRPr="000522C1">
        <w:rPr>
          <w:rFonts w:ascii="Times New Roman" w:hAnsi="Times New Roman" w:cs="Times New Roman"/>
        </w:rPr>
        <w:t xml:space="preserve"> over </w:t>
      </w:r>
      <w:r w:rsidR="00805961" w:rsidRPr="000522C1">
        <w:rPr>
          <w:rFonts w:ascii="Times New Roman" w:hAnsi="Times New Roman" w:cs="Times New Roman"/>
        </w:rPr>
        <w:t xml:space="preserve">a </w:t>
      </w:r>
      <w:r w:rsidRPr="000522C1">
        <w:rPr>
          <w:rFonts w:ascii="Times New Roman" w:hAnsi="Times New Roman" w:cs="Times New Roman"/>
        </w:rPr>
        <w:t xml:space="preserve">range of PHA </w:t>
      </w:r>
      <w:r w:rsidR="00805961" w:rsidRPr="000522C1">
        <w:rPr>
          <w:rFonts w:ascii="Times New Roman" w:hAnsi="Times New Roman" w:cs="Times New Roman"/>
        </w:rPr>
        <w:t xml:space="preserve">amounts </w:t>
      </w:r>
      <w:r w:rsidRPr="000522C1">
        <w:rPr>
          <w:rFonts w:ascii="Times New Roman" w:hAnsi="Times New Roman" w:cs="Times New Roman"/>
        </w:rPr>
        <w:t>(5 – 25 mg) as can be seen in the graph below.</w:t>
      </w:r>
    </w:p>
    <w:p w14:paraId="1765CF22" w14:textId="77777777" w:rsidR="00BB5612" w:rsidRPr="000522C1" w:rsidRDefault="00613C97" w:rsidP="00EC66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22C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DE3F0C8" wp14:editId="13B2F221">
            <wp:extent cx="3729925" cy="2076773"/>
            <wp:effectExtent l="0" t="0" r="444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7C81A40" w14:textId="651D660D" w:rsidR="00613C97" w:rsidRPr="000522C1" w:rsidRDefault="00613C97" w:rsidP="00EC667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E0EA73" w14:textId="2C2811AD" w:rsidR="00211A80" w:rsidRPr="000522C1" w:rsidRDefault="00211A80" w:rsidP="00EC667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3ADE69" w14:textId="25731D57" w:rsidR="00211A80" w:rsidRPr="000522C1" w:rsidRDefault="00211A80" w:rsidP="00EC667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39591D" w14:textId="4F1C8474" w:rsidR="00211A80" w:rsidRPr="000522C1" w:rsidRDefault="00211A80" w:rsidP="00EC667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7C28C2" w14:textId="77777777" w:rsidR="00211A80" w:rsidRPr="000522C1" w:rsidRDefault="00211A80" w:rsidP="00EC667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11A80" w:rsidRPr="00052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zMDY2MTU3tzA3sDRR0lEKTi0uzszPAykwrAUAChMDVCwAAAA="/>
  </w:docVars>
  <w:rsids>
    <w:rsidRoot w:val="00406E64"/>
    <w:rsid w:val="000431BF"/>
    <w:rsid w:val="000522C1"/>
    <w:rsid w:val="00057D91"/>
    <w:rsid w:val="000B67FB"/>
    <w:rsid w:val="000D0B09"/>
    <w:rsid w:val="000D11F5"/>
    <w:rsid w:val="00185A72"/>
    <w:rsid w:val="00211A80"/>
    <w:rsid w:val="0021242D"/>
    <w:rsid w:val="00286862"/>
    <w:rsid w:val="002D6138"/>
    <w:rsid w:val="003B1497"/>
    <w:rsid w:val="003F6E6E"/>
    <w:rsid w:val="00406E64"/>
    <w:rsid w:val="00471568"/>
    <w:rsid w:val="00484FF6"/>
    <w:rsid w:val="004F4295"/>
    <w:rsid w:val="005962D6"/>
    <w:rsid w:val="005D6682"/>
    <w:rsid w:val="00613C97"/>
    <w:rsid w:val="006B773D"/>
    <w:rsid w:val="006F6844"/>
    <w:rsid w:val="00734C5F"/>
    <w:rsid w:val="007C6371"/>
    <w:rsid w:val="00805961"/>
    <w:rsid w:val="008D3B97"/>
    <w:rsid w:val="00954E2B"/>
    <w:rsid w:val="00A13956"/>
    <w:rsid w:val="00B41876"/>
    <w:rsid w:val="00B537D8"/>
    <w:rsid w:val="00B87485"/>
    <w:rsid w:val="00BB5612"/>
    <w:rsid w:val="00CC3597"/>
    <w:rsid w:val="00DC07B3"/>
    <w:rsid w:val="00EC6678"/>
    <w:rsid w:val="00F9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E9A2"/>
  <w15:chartTrackingRefBased/>
  <w15:docId w15:val="{AE8C6139-8F8B-469F-8817-E87FA36E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5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9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GC-MS-ReportsSeq153-205\Seq146-Oct-G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Octanoate Std Curve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0359579605588635"/>
          <c:y val="0.25735510125454503"/>
          <c:w val="0.48514072808836911"/>
          <c:h val="0.4597293457583857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41756671041119853"/>
                  <c:y val="-3.9167395742198893E-2"/>
                </c:manualLayout>
              </c:layout>
              <c:numFmt formatCode="General" sourceLinked="0"/>
            </c:trendlineLbl>
          </c:trendline>
          <c:xVal>
            <c:numRef>
              <c:f>Sheet1!$Z$15:$Z$34</c:f>
              <c:numCache>
                <c:formatCode>0.00</c:formatCode>
                <c:ptCount val="20"/>
                <c:pt idx="0">
                  <c:v>4.58</c:v>
                </c:pt>
                <c:pt idx="1">
                  <c:v>9.16</c:v>
                </c:pt>
                <c:pt idx="2">
                  <c:v>13.739999999999998</c:v>
                </c:pt>
                <c:pt idx="3">
                  <c:v>18.32</c:v>
                </c:pt>
                <c:pt idx="4">
                  <c:v>22.9</c:v>
                </c:pt>
                <c:pt idx="5">
                  <c:v>4.6159999999999997</c:v>
                </c:pt>
                <c:pt idx="6">
                  <c:v>9.2319999999999993</c:v>
                </c:pt>
                <c:pt idx="7">
                  <c:v>13.847999999999999</c:v>
                </c:pt>
                <c:pt idx="8">
                  <c:v>18.463999999999999</c:v>
                </c:pt>
                <c:pt idx="9">
                  <c:v>23.08</c:v>
                </c:pt>
                <c:pt idx="10">
                  <c:v>4.5360000000000005</c:v>
                </c:pt>
                <c:pt idx="11">
                  <c:v>9.072000000000001</c:v>
                </c:pt>
                <c:pt idx="12">
                  <c:v>13.607999999999999</c:v>
                </c:pt>
                <c:pt idx="13">
                  <c:v>18.144000000000002</c:v>
                </c:pt>
                <c:pt idx="14">
                  <c:v>22.68</c:v>
                </c:pt>
                <c:pt idx="15">
                  <c:v>4.8719999999999999</c:v>
                </c:pt>
                <c:pt idx="16">
                  <c:v>9.7439999999999998</c:v>
                </c:pt>
                <c:pt idx="17">
                  <c:v>14.616</c:v>
                </c:pt>
                <c:pt idx="18">
                  <c:v>19.488</c:v>
                </c:pt>
                <c:pt idx="19">
                  <c:v>24.36</c:v>
                </c:pt>
              </c:numCache>
            </c:numRef>
          </c:xVal>
          <c:yVal>
            <c:numRef>
              <c:f>Sheet1!$AA$15:$AA$34</c:f>
              <c:numCache>
                <c:formatCode>0.00</c:formatCode>
                <c:ptCount val="20"/>
                <c:pt idx="0">
                  <c:v>7.1545522150000007</c:v>
                </c:pt>
                <c:pt idx="1">
                  <c:v>10.978019581</c:v>
                </c:pt>
                <c:pt idx="2">
                  <c:v>15.840322461000001</c:v>
                </c:pt>
                <c:pt idx="3">
                  <c:v>19.438552632</c:v>
                </c:pt>
                <c:pt idx="4">
                  <c:v>23.158327688</c:v>
                </c:pt>
                <c:pt idx="5">
                  <c:v>6.4582299760000001</c:v>
                </c:pt>
                <c:pt idx="6">
                  <c:v>11.042602633000001</c:v>
                </c:pt>
                <c:pt idx="7">
                  <c:v>15.514271631</c:v>
                </c:pt>
                <c:pt idx="8">
                  <c:v>19.222628077</c:v>
                </c:pt>
                <c:pt idx="9">
                  <c:v>21.475913951999999</c:v>
                </c:pt>
                <c:pt idx="10">
                  <c:v>6.9627059689999999</c:v>
                </c:pt>
                <c:pt idx="11">
                  <c:v>11.442910481999998</c:v>
                </c:pt>
                <c:pt idx="12">
                  <c:v>16.565476595</c:v>
                </c:pt>
                <c:pt idx="13">
                  <c:v>21.487738174</c:v>
                </c:pt>
                <c:pt idx="14">
                  <c:v>25.090213438999999</c:v>
                </c:pt>
                <c:pt idx="15">
                  <c:v>8.3601678410000009</c:v>
                </c:pt>
                <c:pt idx="16">
                  <c:v>14.074852530999999</c:v>
                </c:pt>
                <c:pt idx="17">
                  <c:v>18.018698048000001</c:v>
                </c:pt>
                <c:pt idx="18">
                  <c:v>21.418958091</c:v>
                </c:pt>
                <c:pt idx="19">
                  <c:v>30.644821111000002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54D-4DA1-A0E9-C4BF60C8A8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0984704"/>
        <c:axId val="140986624"/>
      </c:scatterChart>
      <c:valAx>
        <c:axId val="140984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Amount (mg)</a:t>
                </a:r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crossAx val="140986624"/>
        <c:crosses val="autoZero"/>
        <c:crossBetween val="midCat"/>
      </c:valAx>
      <c:valAx>
        <c:axId val="1409866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Area / 10^6</a:t>
                </a:r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crossAx val="14098470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Sikkema, Dirk - ARS</dc:creator>
  <cp:keywords/>
  <dc:description/>
  <cp:lastModifiedBy>Lee, Charles - ARS</cp:lastModifiedBy>
  <cp:revision>4</cp:revision>
  <cp:lastPrinted>2022-07-26T22:27:00Z</cp:lastPrinted>
  <dcterms:created xsi:type="dcterms:W3CDTF">2022-10-17T22:22:00Z</dcterms:created>
  <dcterms:modified xsi:type="dcterms:W3CDTF">2023-04-03T17:16:00Z</dcterms:modified>
</cp:coreProperties>
</file>