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topFromText="180" w:bottomFromText="180" w:vertAnchor="text" w:tblpX="-739"/>
        <w:tblW w:w="14925" w:type="dxa"/>
        <w:tblBorders>
          <w:top w:val="single" w:sz="8" w:space="0" w:color="000000"/>
          <w:left w:val="single" w:sz="4" w:space="0" w:color="auto"/>
          <w:bottom w:val="single" w:sz="8" w:space="0" w:color="000000"/>
          <w:right w:val="single" w:sz="4" w:space="0" w:color="auto"/>
          <w:insideH w:val="single" w:sz="8" w:space="0" w:color="000000"/>
          <w:insideV w:val="single" w:sz="8" w:space="0" w:color="000000"/>
        </w:tblBorders>
        <w:tblLayout w:type="fixed"/>
        <w:tblLook w:val="0600" w:firstRow="0" w:lastRow="0" w:firstColumn="0" w:lastColumn="0" w:noHBand="1" w:noVBand="1"/>
      </w:tblPr>
      <w:tblGrid>
        <w:gridCol w:w="1515"/>
        <w:gridCol w:w="1590"/>
        <w:gridCol w:w="210"/>
        <w:gridCol w:w="1800"/>
        <w:gridCol w:w="1920"/>
        <w:gridCol w:w="1620"/>
        <w:gridCol w:w="1695"/>
        <w:gridCol w:w="2070"/>
        <w:gridCol w:w="2505"/>
      </w:tblGrid>
      <w:tr w:rsidR="007975C4" w:rsidRPr="007975C4" w14:paraId="3365D392" w14:textId="77777777" w:rsidTr="00AD7FAC">
        <w:trPr>
          <w:cantSplit/>
          <w:trHeight w:val="144"/>
          <w:tblHeader/>
        </w:trPr>
        <w:tc>
          <w:tcPr>
            <w:tcW w:w="14925" w:type="dxa"/>
            <w:gridSpan w:val="9"/>
            <w:tcBorders>
              <w:top w:val="nil"/>
              <w:left w:val="nil"/>
              <w:right w:val="nil"/>
            </w:tcBorders>
          </w:tcPr>
          <w:p w14:paraId="50284181" w14:textId="6CAEADCE" w:rsidR="007975C4" w:rsidRPr="007975C4" w:rsidRDefault="007975C4" w:rsidP="00F07F0C">
            <w:pPr>
              <w:widowControl w:val="0"/>
              <w:pBdr>
                <w:top w:val="nil"/>
                <w:left w:val="nil"/>
                <w:bottom w:val="nil"/>
                <w:right w:val="nil"/>
                <w:between w:val="nil"/>
              </w:pBdr>
              <w:spacing w:line="240" w:lineRule="auto"/>
              <w:rPr>
                <w:rFonts w:ascii="Palatino Linotype" w:hAnsi="Palatino Linotype"/>
                <w:bCs/>
                <w:color w:val="000000"/>
              </w:rPr>
            </w:pPr>
            <w:r w:rsidRPr="007975C4">
              <w:rPr>
                <w:rFonts w:ascii="Palatino Linotype" w:hAnsi="Palatino Linotype"/>
                <w:bCs/>
                <w:color w:val="000000"/>
              </w:rPr>
              <w:t>Table 1. Characteristics of the included articles (</w:t>
            </w:r>
            <w:r w:rsidRPr="007975C4">
              <w:rPr>
                <w:rFonts w:ascii="Palatino Linotype" w:hAnsi="Palatino Linotype"/>
                <w:bCs/>
                <w:i/>
                <w:iCs/>
                <w:color w:val="000000"/>
              </w:rPr>
              <w:t>in vitro</w:t>
            </w:r>
            <w:r w:rsidRPr="007975C4">
              <w:rPr>
                <w:rFonts w:ascii="Palatino Linotype" w:hAnsi="Palatino Linotype"/>
                <w:bCs/>
                <w:color w:val="000000"/>
              </w:rPr>
              <w:t xml:space="preserve"> studies)</w:t>
            </w:r>
          </w:p>
        </w:tc>
      </w:tr>
      <w:tr w:rsidR="007975C4" w:rsidRPr="007975C4" w14:paraId="7D3A1892" w14:textId="77777777" w:rsidTr="007975C4">
        <w:trPr>
          <w:cantSplit/>
          <w:trHeight w:val="144"/>
          <w:tblHeader/>
        </w:trPr>
        <w:tc>
          <w:tcPr>
            <w:tcW w:w="1515" w:type="dxa"/>
            <w:tcBorders>
              <w:left w:val="nil"/>
              <w:right w:val="nil"/>
            </w:tcBorders>
          </w:tcPr>
          <w:p w14:paraId="3B4318B9" w14:textId="77777777" w:rsidR="007975C4" w:rsidRPr="007975C4" w:rsidRDefault="007975C4" w:rsidP="007975C4">
            <w:pPr>
              <w:widowControl w:val="0"/>
              <w:pBdr>
                <w:top w:val="nil"/>
                <w:left w:val="nil"/>
                <w:bottom w:val="nil"/>
                <w:right w:val="single" w:sz="4" w:space="4" w:color="auto"/>
                <w:between w:val="nil"/>
              </w:pBdr>
              <w:spacing w:line="240" w:lineRule="auto"/>
              <w:rPr>
                <w:rFonts w:ascii="Palatino Linotype" w:hAnsi="Palatino Linotype"/>
                <w:b/>
                <w:color w:val="000000"/>
              </w:rPr>
            </w:pPr>
            <w:r w:rsidRPr="007975C4">
              <w:rPr>
                <w:rFonts w:ascii="Palatino Linotype" w:hAnsi="Palatino Linotype"/>
                <w:b/>
                <w:color w:val="000000"/>
              </w:rPr>
              <w:t>Author (Year)</w:t>
            </w:r>
          </w:p>
        </w:tc>
        <w:tc>
          <w:tcPr>
            <w:tcW w:w="1800" w:type="dxa"/>
            <w:gridSpan w:val="2"/>
            <w:tcBorders>
              <w:top w:val="single" w:sz="4" w:space="0" w:color="auto"/>
              <w:left w:val="nil"/>
              <w:bottom w:val="single" w:sz="4" w:space="0" w:color="auto"/>
              <w:right w:val="nil"/>
            </w:tcBorders>
          </w:tcPr>
          <w:p w14:paraId="35486FF7" w14:textId="77777777" w:rsidR="007975C4" w:rsidRPr="007975C4" w:rsidRDefault="007975C4" w:rsidP="007975C4">
            <w:pPr>
              <w:widowControl w:val="0"/>
              <w:pBdr>
                <w:top w:val="nil"/>
                <w:bottom w:val="nil"/>
                <w:between w:val="nil"/>
              </w:pBdr>
              <w:spacing w:line="240" w:lineRule="auto"/>
              <w:rPr>
                <w:rFonts w:ascii="Palatino Linotype" w:hAnsi="Palatino Linotype"/>
                <w:b/>
                <w:color w:val="000000"/>
              </w:rPr>
            </w:pPr>
            <w:r w:rsidRPr="007975C4">
              <w:rPr>
                <w:rFonts w:ascii="Palatino Linotype" w:hAnsi="Palatino Linotype"/>
                <w:b/>
                <w:color w:val="000000"/>
              </w:rPr>
              <w:t>Title</w:t>
            </w:r>
          </w:p>
        </w:tc>
        <w:tc>
          <w:tcPr>
            <w:tcW w:w="1800" w:type="dxa"/>
            <w:tcBorders>
              <w:top w:val="single" w:sz="4" w:space="0" w:color="auto"/>
              <w:left w:val="nil"/>
              <w:bottom w:val="single" w:sz="4" w:space="0" w:color="auto"/>
              <w:right w:val="nil"/>
            </w:tcBorders>
          </w:tcPr>
          <w:p w14:paraId="685C713B" w14:textId="470F6953" w:rsidR="007975C4" w:rsidRPr="007975C4" w:rsidRDefault="007975C4" w:rsidP="007975C4">
            <w:pPr>
              <w:widowControl w:val="0"/>
              <w:pBdr>
                <w:top w:val="nil"/>
                <w:bottom w:val="nil"/>
                <w:between w:val="nil"/>
              </w:pBdr>
              <w:spacing w:line="240" w:lineRule="auto"/>
              <w:rPr>
                <w:rFonts w:ascii="Palatino Linotype" w:hAnsi="Palatino Linotype"/>
                <w:b/>
                <w:color w:val="000000"/>
              </w:rPr>
            </w:pPr>
            <w:r w:rsidRPr="007975C4">
              <w:rPr>
                <w:rFonts w:ascii="Palatino Linotype" w:hAnsi="Palatino Linotype"/>
                <w:b/>
                <w:color w:val="000000"/>
              </w:rPr>
              <w:t>Study aim</w:t>
            </w:r>
          </w:p>
        </w:tc>
        <w:tc>
          <w:tcPr>
            <w:tcW w:w="1920" w:type="dxa"/>
            <w:tcBorders>
              <w:top w:val="single" w:sz="4" w:space="0" w:color="auto"/>
              <w:left w:val="nil"/>
              <w:bottom w:val="single" w:sz="4" w:space="0" w:color="auto"/>
              <w:right w:val="nil"/>
            </w:tcBorders>
          </w:tcPr>
          <w:p w14:paraId="3D70CB9C" w14:textId="77777777" w:rsidR="007975C4" w:rsidRPr="007975C4" w:rsidRDefault="007975C4" w:rsidP="00F07F0C">
            <w:pPr>
              <w:widowControl w:val="0"/>
              <w:pBdr>
                <w:top w:val="nil"/>
                <w:left w:val="nil"/>
                <w:bottom w:val="nil"/>
                <w:right w:val="nil"/>
                <w:between w:val="nil"/>
              </w:pBdr>
              <w:spacing w:line="240" w:lineRule="auto"/>
              <w:rPr>
                <w:rFonts w:ascii="Palatino Linotype" w:hAnsi="Palatino Linotype"/>
                <w:b/>
                <w:color w:val="000000"/>
              </w:rPr>
            </w:pPr>
            <w:r w:rsidRPr="007975C4">
              <w:rPr>
                <w:rFonts w:ascii="Palatino Linotype" w:hAnsi="Palatino Linotype"/>
                <w:b/>
                <w:color w:val="000000"/>
              </w:rPr>
              <w:t>Outcome Measurement</w:t>
            </w:r>
          </w:p>
        </w:tc>
        <w:tc>
          <w:tcPr>
            <w:tcW w:w="1620" w:type="dxa"/>
            <w:tcBorders>
              <w:left w:val="nil"/>
              <w:right w:val="nil"/>
            </w:tcBorders>
          </w:tcPr>
          <w:p w14:paraId="2B3FFE15" w14:textId="77777777" w:rsidR="007975C4" w:rsidRPr="007975C4" w:rsidRDefault="007975C4" w:rsidP="00F07F0C">
            <w:pPr>
              <w:widowControl w:val="0"/>
              <w:pBdr>
                <w:top w:val="nil"/>
                <w:left w:val="nil"/>
                <w:bottom w:val="nil"/>
                <w:right w:val="nil"/>
                <w:between w:val="nil"/>
              </w:pBdr>
              <w:spacing w:line="240" w:lineRule="auto"/>
              <w:rPr>
                <w:rFonts w:ascii="Palatino Linotype" w:hAnsi="Palatino Linotype"/>
                <w:b/>
                <w:color w:val="000000"/>
              </w:rPr>
            </w:pPr>
            <w:r w:rsidRPr="007975C4">
              <w:rPr>
                <w:rFonts w:ascii="Palatino Linotype" w:hAnsi="Palatino Linotype"/>
                <w:b/>
                <w:color w:val="000000"/>
              </w:rPr>
              <w:t xml:space="preserve">Sample Size (SS), Follow-Up (FU) </w:t>
            </w:r>
          </w:p>
        </w:tc>
        <w:tc>
          <w:tcPr>
            <w:tcW w:w="1695" w:type="dxa"/>
            <w:tcBorders>
              <w:left w:val="nil"/>
              <w:right w:val="nil"/>
            </w:tcBorders>
          </w:tcPr>
          <w:p w14:paraId="5103405F" w14:textId="77777777" w:rsidR="007975C4" w:rsidRPr="007975C4" w:rsidRDefault="007975C4" w:rsidP="00F07F0C">
            <w:pPr>
              <w:widowControl w:val="0"/>
              <w:pBdr>
                <w:top w:val="nil"/>
                <w:left w:val="nil"/>
                <w:bottom w:val="nil"/>
                <w:right w:val="nil"/>
                <w:between w:val="nil"/>
              </w:pBdr>
              <w:spacing w:line="240" w:lineRule="auto"/>
              <w:rPr>
                <w:rFonts w:ascii="Palatino Linotype" w:hAnsi="Palatino Linotype"/>
                <w:b/>
                <w:color w:val="000000"/>
              </w:rPr>
            </w:pPr>
            <w:r w:rsidRPr="007975C4">
              <w:rPr>
                <w:rFonts w:ascii="Palatino Linotype" w:hAnsi="Palatino Linotype"/>
                <w:b/>
                <w:color w:val="000000"/>
              </w:rPr>
              <w:t>Material(s) or Technology</w:t>
            </w:r>
          </w:p>
          <w:p w14:paraId="04C96710" w14:textId="77777777" w:rsidR="007975C4" w:rsidRPr="007975C4" w:rsidRDefault="007975C4" w:rsidP="00F07F0C">
            <w:pPr>
              <w:widowControl w:val="0"/>
              <w:pBdr>
                <w:top w:val="nil"/>
                <w:left w:val="nil"/>
                <w:bottom w:val="nil"/>
                <w:right w:val="nil"/>
                <w:between w:val="nil"/>
              </w:pBdr>
              <w:spacing w:line="240" w:lineRule="auto"/>
              <w:rPr>
                <w:rFonts w:ascii="Palatino Linotype" w:hAnsi="Palatino Linotype"/>
                <w:b/>
                <w:color w:val="000000"/>
              </w:rPr>
            </w:pPr>
            <w:r w:rsidRPr="007975C4">
              <w:rPr>
                <w:rFonts w:ascii="Palatino Linotype" w:hAnsi="Palatino Linotype"/>
                <w:b/>
                <w:color w:val="000000"/>
              </w:rPr>
              <w:t>(</w:t>
            </w:r>
            <w:proofErr w:type="spellStart"/>
            <w:r w:rsidRPr="007975C4">
              <w:rPr>
                <w:rFonts w:ascii="Palatino Linotype" w:hAnsi="Palatino Linotype"/>
                <w:b/>
                <w:color w:val="000000"/>
              </w:rPr>
              <w:t>ies</w:t>
            </w:r>
            <w:proofErr w:type="spellEnd"/>
            <w:r w:rsidRPr="007975C4">
              <w:rPr>
                <w:rFonts w:ascii="Palatino Linotype" w:hAnsi="Palatino Linotype"/>
                <w:b/>
                <w:color w:val="000000"/>
              </w:rPr>
              <w:t xml:space="preserve">) Used </w:t>
            </w:r>
          </w:p>
        </w:tc>
        <w:tc>
          <w:tcPr>
            <w:tcW w:w="2070" w:type="dxa"/>
            <w:tcBorders>
              <w:left w:val="nil"/>
              <w:right w:val="nil"/>
            </w:tcBorders>
          </w:tcPr>
          <w:p w14:paraId="3D838F87" w14:textId="77777777" w:rsidR="007975C4" w:rsidRPr="007975C4" w:rsidRDefault="007975C4" w:rsidP="00F07F0C">
            <w:pPr>
              <w:widowControl w:val="0"/>
              <w:pBdr>
                <w:top w:val="nil"/>
                <w:left w:val="nil"/>
                <w:bottom w:val="nil"/>
                <w:right w:val="nil"/>
                <w:between w:val="nil"/>
              </w:pBdr>
              <w:spacing w:line="240" w:lineRule="auto"/>
              <w:rPr>
                <w:rFonts w:ascii="Palatino Linotype" w:hAnsi="Palatino Linotype"/>
                <w:b/>
                <w:color w:val="000000"/>
              </w:rPr>
            </w:pPr>
            <w:r w:rsidRPr="007975C4">
              <w:rPr>
                <w:rFonts w:ascii="Palatino Linotype" w:hAnsi="Palatino Linotype"/>
                <w:b/>
                <w:color w:val="000000"/>
              </w:rPr>
              <w:t>Active agent(s)</w:t>
            </w:r>
          </w:p>
        </w:tc>
        <w:tc>
          <w:tcPr>
            <w:tcW w:w="2505" w:type="dxa"/>
            <w:tcBorders>
              <w:left w:val="nil"/>
              <w:right w:val="nil"/>
            </w:tcBorders>
          </w:tcPr>
          <w:p w14:paraId="7B260927" w14:textId="77777777" w:rsidR="007975C4" w:rsidRPr="007975C4" w:rsidRDefault="007975C4" w:rsidP="00F07F0C">
            <w:pPr>
              <w:widowControl w:val="0"/>
              <w:pBdr>
                <w:top w:val="nil"/>
                <w:left w:val="nil"/>
                <w:bottom w:val="nil"/>
                <w:right w:val="nil"/>
                <w:between w:val="nil"/>
              </w:pBdr>
              <w:spacing w:line="240" w:lineRule="auto"/>
              <w:rPr>
                <w:rFonts w:ascii="Palatino Linotype" w:hAnsi="Palatino Linotype"/>
                <w:b/>
                <w:color w:val="000000"/>
              </w:rPr>
            </w:pPr>
            <w:r w:rsidRPr="007975C4">
              <w:rPr>
                <w:rFonts w:ascii="Palatino Linotype" w:hAnsi="Palatino Linotype"/>
                <w:b/>
                <w:color w:val="000000"/>
              </w:rPr>
              <w:t>Primary results</w:t>
            </w:r>
          </w:p>
        </w:tc>
      </w:tr>
      <w:tr w:rsidR="007975C4" w:rsidRPr="007975C4" w14:paraId="748B3896" w14:textId="77777777" w:rsidTr="007975C4">
        <w:trPr>
          <w:cantSplit/>
          <w:trHeight w:val="144"/>
          <w:tblHeader/>
        </w:trPr>
        <w:tc>
          <w:tcPr>
            <w:tcW w:w="1515" w:type="dxa"/>
            <w:tcBorders>
              <w:top w:val="single" w:sz="4" w:space="0" w:color="auto"/>
              <w:left w:val="nil"/>
              <w:right w:val="nil"/>
            </w:tcBorders>
          </w:tcPr>
          <w:p w14:paraId="38CD9F8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Poggio et al. (2017)</w:t>
            </w:r>
          </w:p>
        </w:tc>
        <w:tc>
          <w:tcPr>
            <w:tcW w:w="1590" w:type="dxa"/>
            <w:tcBorders>
              <w:top w:val="single" w:sz="4" w:space="0" w:color="auto"/>
              <w:left w:val="nil"/>
              <w:right w:val="nil"/>
            </w:tcBorders>
          </w:tcPr>
          <w:p w14:paraId="436E266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Preventive effects of different protective agents on dentin erosion: An in vitro investigation</w:t>
            </w:r>
          </w:p>
        </w:tc>
        <w:tc>
          <w:tcPr>
            <w:tcW w:w="2010" w:type="dxa"/>
            <w:gridSpan w:val="2"/>
            <w:tcBorders>
              <w:top w:val="single" w:sz="4" w:space="0" w:color="auto"/>
              <w:left w:val="nil"/>
              <w:right w:val="nil"/>
            </w:tcBorders>
          </w:tcPr>
          <w:p w14:paraId="4B5464BC"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To evaluate the preventive effects of different protective agents on dentin erosion caused by soft drinks</w:t>
            </w:r>
          </w:p>
        </w:tc>
        <w:tc>
          <w:tcPr>
            <w:tcW w:w="1920" w:type="dxa"/>
            <w:tcBorders>
              <w:top w:val="single" w:sz="4" w:space="0" w:color="auto"/>
              <w:left w:val="nil"/>
              <w:right w:val="nil"/>
            </w:tcBorders>
          </w:tcPr>
          <w:p w14:paraId="7FA95796"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Percent weight loss, SEM imaging</w:t>
            </w:r>
          </w:p>
        </w:tc>
        <w:tc>
          <w:tcPr>
            <w:tcW w:w="1620" w:type="dxa"/>
            <w:tcBorders>
              <w:left w:val="nil"/>
              <w:right w:val="nil"/>
            </w:tcBorders>
          </w:tcPr>
          <w:p w14:paraId="1E9206C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SS: 70 human dentin specimens; FU: 32 minutes total immersion in Coca-Cola</w:t>
            </w:r>
          </w:p>
        </w:tc>
        <w:tc>
          <w:tcPr>
            <w:tcW w:w="1695" w:type="dxa"/>
            <w:tcBorders>
              <w:left w:val="nil"/>
              <w:right w:val="nil"/>
            </w:tcBorders>
          </w:tcPr>
          <w:p w14:paraId="631B191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 xml:space="preserve">Remin Pro, MI Paste Plus, Tooth Mousse, </w:t>
            </w:r>
            <w:proofErr w:type="spellStart"/>
            <w:r w:rsidRPr="007975C4">
              <w:rPr>
                <w:rFonts w:ascii="Palatino Linotype" w:hAnsi="Palatino Linotype"/>
              </w:rPr>
              <w:t>Biorepair</w:t>
            </w:r>
            <w:proofErr w:type="spellEnd"/>
            <w:r w:rsidRPr="007975C4">
              <w:rPr>
                <w:rFonts w:ascii="Palatino Linotype" w:hAnsi="Palatino Linotype"/>
              </w:rPr>
              <w:t xml:space="preserve">, </w:t>
            </w:r>
            <w:proofErr w:type="spellStart"/>
            <w:r w:rsidRPr="007975C4">
              <w:rPr>
                <w:rFonts w:ascii="Palatino Linotype" w:hAnsi="Palatino Linotype"/>
              </w:rPr>
              <w:t>Biorepair</w:t>
            </w:r>
            <w:proofErr w:type="spellEnd"/>
            <w:r w:rsidRPr="007975C4">
              <w:rPr>
                <w:rFonts w:ascii="Palatino Linotype" w:hAnsi="Palatino Linotype"/>
              </w:rPr>
              <w:t xml:space="preserve"> Plus, Regenerate</w:t>
            </w:r>
          </w:p>
        </w:tc>
        <w:tc>
          <w:tcPr>
            <w:tcW w:w="2070" w:type="dxa"/>
            <w:tcBorders>
              <w:left w:val="nil"/>
              <w:right w:val="nil"/>
            </w:tcBorders>
          </w:tcPr>
          <w:p w14:paraId="219DAF64"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 xml:space="preserve">Hydroxyapatite, CPP-ACP, CPP-ACPF, zinc hydroxyapatite, calcium silicate, sodium phosphate, sodium </w:t>
            </w:r>
            <w:proofErr w:type="spellStart"/>
            <w:r w:rsidRPr="007975C4">
              <w:rPr>
                <w:rFonts w:ascii="Palatino Linotype" w:hAnsi="Palatino Linotype"/>
              </w:rPr>
              <w:t>monofluorophosphate</w:t>
            </w:r>
            <w:proofErr w:type="spellEnd"/>
            <w:r w:rsidRPr="007975C4">
              <w:rPr>
                <w:rFonts w:ascii="Palatino Linotype" w:hAnsi="Palatino Linotype"/>
              </w:rPr>
              <w:t xml:space="preserve"> (1450 ppm fluoride)</w:t>
            </w:r>
          </w:p>
        </w:tc>
        <w:tc>
          <w:tcPr>
            <w:tcW w:w="2505" w:type="dxa"/>
            <w:tcBorders>
              <w:left w:val="nil"/>
              <w:right w:val="nil"/>
            </w:tcBorders>
          </w:tcPr>
          <w:p w14:paraId="395E5FBA"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roofErr w:type="spellStart"/>
            <w:r w:rsidRPr="007975C4">
              <w:rPr>
                <w:rFonts w:ascii="Palatino Linotype" w:hAnsi="Palatino Linotype"/>
              </w:rPr>
              <w:t>Biorepair</w:t>
            </w:r>
            <w:proofErr w:type="spellEnd"/>
            <w:r w:rsidRPr="007975C4">
              <w:rPr>
                <w:rFonts w:ascii="Palatino Linotype" w:hAnsi="Palatino Linotype"/>
              </w:rPr>
              <w:t xml:space="preserve"> and Regenerate significantly reduced dentin weight loss, showing greater resistance to acid erosion compared to other agents. Remin Pro and MI Paste Plus showed results </w:t>
            </w:r>
            <w:proofErr w:type="gramStart"/>
            <w:r w:rsidRPr="007975C4">
              <w:rPr>
                <w:rFonts w:ascii="Palatino Linotype" w:hAnsi="Palatino Linotype"/>
              </w:rPr>
              <w:t>similar to</w:t>
            </w:r>
            <w:proofErr w:type="gramEnd"/>
            <w:r w:rsidRPr="007975C4">
              <w:rPr>
                <w:rFonts w:ascii="Palatino Linotype" w:hAnsi="Palatino Linotype"/>
              </w:rPr>
              <w:t xml:space="preserve"> the control group, while Tooth Mousse and </w:t>
            </w:r>
            <w:proofErr w:type="spellStart"/>
            <w:r w:rsidRPr="007975C4">
              <w:rPr>
                <w:rFonts w:ascii="Palatino Linotype" w:hAnsi="Palatino Linotype"/>
              </w:rPr>
              <w:t>Biorepair</w:t>
            </w:r>
            <w:proofErr w:type="spellEnd"/>
            <w:r w:rsidRPr="007975C4">
              <w:rPr>
                <w:rFonts w:ascii="Palatino Linotype" w:hAnsi="Palatino Linotype"/>
              </w:rPr>
              <w:t xml:space="preserve"> Plus increased dentin demineralization</w:t>
            </w:r>
          </w:p>
        </w:tc>
      </w:tr>
      <w:tr w:rsidR="007975C4" w:rsidRPr="007975C4" w14:paraId="3C37DD08" w14:textId="77777777" w:rsidTr="007975C4">
        <w:trPr>
          <w:cantSplit/>
          <w:trHeight w:val="144"/>
          <w:tblHeader/>
        </w:trPr>
        <w:tc>
          <w:tcPr>
            <w:tcW w:w="1515" w:type="dxa"/>
            <w:tcBorders>
              <w:left w:val="nil"/>
              <w:right w:val="nil"/>
            </w:tcBorders>
          </w:tcPr>
          <w:p w14:paraId="1C06C06A" w14:textId="31029168"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rPr>
              <w:t>Altan et al. (2019)</w:t>
            </w:r>
          </w:p>
        </w:tc>
        <w:tc>
          <w:tcPr>
            <w:tcW w:w="1590" w:type="dxa"/>
            <w:tcBorders>
              <w:left w:val="nil"/>
              <w:right w:val="nil"/>
            </w:tcBorders>
          </w:tcPr>
          <w:p w14:paraId="4A1067F7"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rPr>
              <w:t xml:space="preserve">Inhibition effects of different toothpastes on </w:t>
            </w:r>
            <w:proofErr w:type="spellStart"/>
            <w:r w:rsidRPr="007975C4">
              <w:rPr>
                <w:rFonts w:ascii="Palatino Linotype" w:hAnsi="Palatino Linotype"/>
              </w:rPr>
              <w:t>demineralisation</w:t>
            </w:r>
            <w:proofErr w:type="spellEnd"/>
            <w:r w:rsidRPr="007975C4">
              <w:rPr>
                <w:rFonts w:ascii="Palatino Linotype" w:hAnsi="Palatino Linotype"/>
              </w:rPr>
              <w:t xml:space="preserve"> of incipient enamel </w:t>
            </w:r>
            <w:r w:rsidRPr="007975C4">
              <w:rPr>
                <w:rFonts w:ascii="Palatino Linotype" w:hAnsi="Palatino Linotype"/>
              </w:rPr>
              <w:lastRenderedPageBreak/>
              <w:t>lesions</w:t>
            </w:r>
          </w:p>
        </w:tc>
        <w:tc>
          <w:tcPr>
            <w:tcW w:w="2010" w:type="dxa"/>
            <w:gridSpan w:val="2"/>
            <w:tcBorders>
              <w:left w:val="nil"/>
              <w:right w:val="nil"/>
            </w:tcBorders>
          </w:tcPr>
          <w:p w14:paraId="3E8FADDD"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rPr>
              <w:lastRenderedPageBreak/>
              <w:t xml:space="preserve">To Evaluate the inhibitory effects of different toothpastes on </w:t>
            </w:r>
            <w:proofErr w:type="spellStart"/>
            <w:r w:rsidRPr="007975C4">
              <w:rPr>
                <w:rFonts w:ascii="Palatino Linotype" w:hAnsi="Palatino Linotype"/>
              </w:rPr>
              <w:t>demineralisation</w:t>
            </w:r>
            <w:proofErr w:type="spellEnd"/>
            <w:r w:rsidRPr="007975C4">
              <w:rPr>
                <w:rFonts w:ascii="Palatino Linotype" w:hAnsi="Palatino Linotype"/>
              </w:rPr>
              <w:t xml:space="preserve"> of incipient enamel lesions using a toothbrush </w:t>
            </w:r>
            <w:r w:rsidRPr="007975C4">
              <w:rPr>
                <w:rFonts w:ascii="Palatino Linotype" w:hAnsi="Palatino Linotype"/>
              </w:rPr>
              <w:lastRenderedPageBreak/>
              <w:t>simulator</w:t>
            </w:r>
          </w:p>
        </w:tc>
        <w:tc>
          <w:tcPr>
            <w:tcW w:w="1920" w:type="dxa"/>
            <w:tcBorders>
              <w:left w:val="nil"/>
              <w:right w:val="nil"/>
            </w:tcBorders>
          </w:tcPr>
          <w:p w14:paraId="290DCE34"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rPr>
              <w:lastRenderedPageBreak/>
              <w:t xml:space="preserve">Scanning Electron Microscopy (SEM) and Energy Dispersive Spectroscopy (EDX) with weight </w:t>
            </w:r>
            <w:r w:rsidRPr="007975C4">
              <w:rPr>
                <w:rFonts w:ascii="Palatino Linotype" w:hAnsi="Palatino Linotype"/>
              </w:rPr>
              <w:lastRenderedPageBreak/>
              <w:t xml:space="preserve">percentage of mineral changes (Ca, P, Na, Si) </w:t>
            </w:r>
          </w:p>
        </w:tc>
        <w:tc>
          <w:tcPr>
            <w:tcW w:w="1620" w:type="dxa"/>
            <w:tcBorders>
              <w:left w:val="nil"/>
              <w:right w:val="nil"/>
            </w:tcBorders>
          </w:tcPr>
          <w:p w14:paraId="11AC6F5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rPr>
              <w:lastRenderedPageBreak/>
              <w:t>50 Human enamel blocks (n=10 per group)</w:t>
            </w:r>
          </w:p>
          <w:p w14:paraId="1F383D44"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p w14:paraId="4B931951"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rPr>
              <w:t>5 days pH cycling</w:t>
            </w:r>
          </w:p>
        </w:tc>
        <w:tc>
          <w:tcPr>
            <w:tcW w:w="1695" w:type="dxa"/>
            <w:tcBorders>
              <w:left w:val="nil"/>
              <w:right w:val="nil"/>
            </w:tcBorders>
          </w:tcPr>
          <w:p w14:paraId="653F1A6E"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rPr>
              <w:t>Toothpaste with Arginine, Fluoride, CPP-ACP, and Bioactive Glass (</w:t>
            </w:r>
            <w:proofErr w:type="spellStart"/>
            <w:r w:rsidRPr="007975C4">
              <w:rPr>
                <w:rFonts w:ascii="Palatino Linotype" w:hAnsi="Palatino Linotype"/>
              </w:rPr>
              <w:t>NovaMin</w:t>
            </w:r>
            <w:proofErr w:type="spellEnd"/>
            <w:r w:rsidRPr="007975C4">
              <w:rPr>
                <w:rFonts w:ascii="Palatino Linotype" w:hAnsi="Palatino Linotype"/>
              </w:rPr>
              <w:t>)</w:t>
            </w:r>
          </w:p>
        </w:tc>
        <w:tc>
          <w:tcPr>
            <w:tcW w:w="2070" w:type="dxa"/>
            <w:tcBorders>
              <w:left w:val="nil"/>
              <w:right w:val="nil"/>
            </w:tcBorders>
          </w:tcPr>
          <w:p w14:paraId="40E5DE47"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rPr>
              <w:t xml:space="preserve">Arginine, Sodium </w:t>
            </w:r>
            <w:proofErr w:type="spellStart"/>
            <w:r w:rsidRPr="007975C4">
              <w:rPr>
                <w:rFonts w:ascii="Palatino Linotype" w:hAnsi="Palatino Linotype"/>
              </w:rPr>
              <w:t>Monofluorophosphate</w:t>
            </w:r>
            <w:proofErr w:type="spellEnd"/>
            <w:r w:rsidRPr="007975C4">
              <w:rPr>
                <w:rFonts w:ascii="Palatino Linotype" w:hAnsi="Palatino Linotype"/>
              </w:rPr>
              <w:t xml:space="preserve"> (Fluoride), CPP-ACP, Bioactive Glass (</w:t>
            </w:r>
            <w:proofErr w:type="spellStart"/>
            <w:r w:rsidRPr="007975C4">
              <w:rPr>
                <w:rFonts w:ascii="Palatino Linotype" w:hAnsi="Palatino Linotype"/>
              </w:rPr>
              <w:t>NovaMin</w:t>
            </w:r>
            <w:proofErr w:type="spellEnd"/>
            <w:r w:rsidRPr="007975C4">
              <w:rPr>
                <w:rFonts w:ascii="Palatino Linotype" w:hAnsi="Palatino Linotype"/>
              </w:rPr>
              <w:t>)</w:t>
            </w:r>
          </w:p>
        </w:tc>
        <w:tc>
          <w:tcPr>
            <w:tcW w:w="2505" w:type="dxa"/>
            <w:tcBorders>
              <w:left w:val="nil"/>
              <w:right w:val="nil"/>
            </w:tcBorders>
          </w:tcPr>
          <w:p w14:paraId="4D8D2E5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rPr>
              <w:t xml:space="preserve">All toothpaste groups showed a statistically significant increase in Ca and P compared to the control group (p &lt; 0.05). CPP-ACP showed the highest increase in Ca and P. </w:t>
            </w:r>
            <w:proofErr w:type="spellStart"/>
            <w:r w:rsidRPr="007975C4">
              <w:rPr>
                <w:rFonts w:ascii="Palatino Linotype" w:hAnsi="Palatino Linotype"/>
              </w:rPr>
              <w:t>NovaMin</w:t>
            </w:r>
            <w:proofErr w:type="spellEnd"/>
            <w:r w:rsidRPr="007975C4">
              <w:rPr>
                <w:rFonts w:ascii="Palatino Linotype" w:hAnsi="Palatino Linotype"/>
              </w:rPr>
              <w:t xml:space="preserve"> increased Na </w:t>
            </w:r>
            <w:r w:rsidRPr="007975C4">
              <w:rPr>
                <w:rFonts w:ascii="Palatino Linotype" w:hAnsi="Palatino Linotype"/>
              </w:rPr>
              <w:lastRenderedPageBreak/>
              <w:t>and Si significantly</w:t>
            </w:r>
          </w:p>
        </w:tc>
      </w:tr>
      <w:tr w:rsidR="007975C4" w:rsidRPr="007975C4" w14:paraId="171F3F02" w14:textId="77777777" w:rsidTr="007975C4">
        <w:trPr>
          <w:cantSplit/>
          <w:trHeight w:val="144"/>
          <w:tblHeader/>
        </w:trPr>
        <w:tc>
          <w:tcPr>
            <w:tcW w:w="1515" w:type="dxa"/>
            <w:tcBorders>
              <w:left w:val="nil"/>
              <w:right w:val="nil"/>
            </w:tcBorders>
          </w:tcPr>
          <w:p w14:paraId="4627476F"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lastRenderedPageBreak/>
              <w:t xml:space="preserve">Vilhena </w:t>
            </w:r>
            <w:r w:rsidRPr="007975C4">
              <w:rPr>
                <w:rFonts w:ascii="Palatino Linotype" w:hAnsi="Palatino Linotype"/>
              </w:rPr>
              <w:t>et al.</w:t>
            </w:r>
          </w:p>
          <w:p w14:paraId="6BEC4AC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color w:val="000000"/>
              </w:rPr>
              <w:t>(2020)</w:t>
            </w:r>
          </w:p>
        </w:tc>
        <w:tc>
          <w:tcPr>
            <w:tcW w:w="1590" w:type="dxa"/>
            <w:tcBorders>
              <w:left w:val="nil"/>
              <w:right w:val="nil"/>
            </w:tcBorders>
          </w:tcPr>
          <w:p w14:paraId="62FCE1B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Biomimetic Mechanism of Action of Fluoridated</w:t>
            </w:r>
          </w:p>
          <w:p w14:paraId="1A6C49C1"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Toothpaste Containing Proprietary REFIX Technology</w:t>
            </w:r>
          </w:p>
          <w:p w14:paraId="475638E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on the Remineralization and Repair of Demineralized</w:t>
            </w:r>
          </w:p>
          <w:p w14:paraId="51D1837B"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Dental Tissues: An in vitro Study</w:t>
            </w:r>
          </w:p>
          <w:p w14:paraId="6DADDACD"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tc>
        <w:tc>
          <w:tcPr>
            <w:tcW w:w="2010" w:type="dxa"/>
            <w:gridSpan w:val="2"/>
            <w:tcBorders>
              <w:left w:val="nil"/>
              <w:right w:val="nil"/>
            </w:tcBorders>
          </w:tcPr>
          <w:p w14:paraId="1104EC0D"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Characterize the mineral content and surface</w:t>
            </w:r>
          </w:p>
          <w:p w14:paraId="04E06C51"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and cross-sectional morphology of enamel and dentin tissues treated with a 1450 ppm</w:t>
            </w:r>
          </w:p>
          <w:p w14:paraId="30A81EBE"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fluoride-containing toothpaste with REFIX technology.</w:t>
            </w:r>
          </w:p>
          <w:p w14:paraId="3CB0252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tc>
        <w:tc>
          <w:tcPr>
            <w:tcW w:w="1920" w:type="dxa"/>
            <w:tcBorders>
              <w:left w:val="nil"/>
              <w:right w:val="nil"/>
            </w:tcBorders>
          </w:tcPr>
          <w:p w14:paraId="4C8E49F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The surface and cross-sectional</w:t>
            </w:r>
          </w:p>
          <w:p w14:paraId="09B89227"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micromorphology </w:t>
            </w:r>
            <w:proofErr w:type="gramStart"/>
            <w:r w:rsidRPr="007975C4">
              <w:rPr>
                <w:rFonts w:ascii="Palatino Linotype" w:hAnsi="Palatino Linotype"/>
                <w:color w:val="000000"/>
              </w:rPr>
              <w:t>were</w:t>
            </w:r>
            <w:proofErr w:type="gramEnd"/>
            <w:r w:rsidRPr="007975C4">
              <w:rPr>
                <w:rFonts w:ascii="Palatino Linotype" w:hAnsi="Palatino Linotype"/>
                <w:color w:val="000000"/>
              </w:rPr>
              <w:t xml:space="preserve"> assessed using scanning electron microscopy (SEM). The </w:t>
            </w:r>
            <w:proofErr w:type="spellStart"/>
            <w:r w:rsidRPr="007975C4">
              <w:rPr>
                <w:rFonts w:ascii="Palatino Linotype" w:hAnsi="Palatino Linotype"/>
                <w:color w:val="000000"/>
              </w:rPr>
              <w:t>ele</w:t>
            </w:r>
            <w:proofErr w:type="spellEnd"/>
            <w:r w:rsidRPr="007975C4">
              <w:rPr>
                <w:rFonts w:ascii="Palatino Linotype" w:hAnsi="Palatino Linotype"/>
                <w:color w:val="000000"/>
              </w:rPr>
              <w:t>-</w:t>
            </w:r>
          </w:p>
          <w:p w14:paraId="08CB9A9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mental analyses (weight%) were determined with an energy-dispersive X-ray </w:t>
            </w:r>
            <w:proofErr w:type="spellStart"/>
            <w:r w:rsidRPr="007975C4">
              <w:rPr>
                <w:rFonts w:ascii="Palatino Linotype" w:hAnsi="Palatino Linotype"/>
                <w:color w:val="000000"/>
              </w:rPr>
              <w:t>spectros</w:t>
            </w:r>
            <w:proofErr w:type="spellEnd"/>
            <w:r w:rsidRPr="007975C4">
              <w:rPr>
                <w:rFonts w:ascii="Palatino Linotype" w:hAnsi="Palatino Linotype"/>
                <w:color w:val="000000"/>
              </w:rPr>
              <w:t>-</w:t>
            </w:r>
          </w:p>
          <w:p w14:paraId="05F6641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copy (EDS).</w:t>
            </w:r>
          </w:p>
          <w:p w14:paraId="586A293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tc>
        <w:tc>
          <w:tcPr>
            <w:tcW w:w="1620" w:type="dxa"/>
            <w:tcBorders>
              <w:left w:val="nil"/>
              <w:right w:val="nil"/>
            </w:tcBorders>
          </w:tcPr>
          <w:p w14:paraId="7BBBBD34"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Bovine enamel blocks </w:t>
            </w:r>
            <w:r w:rsidRPr="007975C4">
              <w:rPr>
                <w:rFonts w:ascii="Palatino Linotype" w:hAnsi="Palatino Linotype"/>
                <w:color w:val="000000"/>
              </w:rPr>
              <w:br/>
              <w:t>(n=5)</w:t>
            </w:r>
          </w:p>
          <w:p w14:paraId="6C5663C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p w14:paraId="493DEAA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color w:val="000000"/>
              </w:rPr>
              <w:t>7 days of pH cycling</w:t>
            </w:r>
          </w:p>
        </w:tc>
        <w:tc>
          <w:tcPr>
            <w:tcW w:w="1695" w:type="dxa"/>
            <w:tcBorders>
              <w:left w:val="nil"/>
              <w:right w:val="nil"/>
            </w:tcBorders>
          </w:tcPr>
          <w:p w14:paraId="67601F7F"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color w:val="000000"/>
              </w:rPr>
              <w:t>REFIX technology</w:t>
            </w:r>
          </w:p>
        </w:tc>
        <w:tc>
          <w:tcPr>
            <w:tcW w:w="2070" w:type="dxa"/>
            <w:tcBorders>
              <w:left w:val="nil"/>
              <w:right w:val="nil"/>
            </w:tcBorders>
          </w:tcPr>
          <w:p w14:paraId="6DA53DA0"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Fluoride sodium, tetrasodium pyrophosphate</w:t>
            </w:r>
          </w:p>
          <w:p w14:paraId="773A11F1"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tc>
        <w:tc>
          <w:tcPr>
            <w:tcW w:w="2505" w:type="dxa"/>
            <w:tcBorders>
              <w:left w:val="nil"/>
              <w:right w:val="nil"/>
            </w:tcBorders>
          </w:tcPr>
          <w:p w14:paraId="09CF3D4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REFIX technology </w:t>
            </w:r>
            <w:proofErr w:type="spellStart"/>
            <w:r w:rsidRPr="007975C4">
              <w:rPr>
                <w:rFonts w:ascii="Palatino Linotype" w:hAnsi="Palatino Linotype"/>
                <w:color w:val="000000"/>
              </w:rPr>
              <w:t>remineralized</w:t>
            </w:r>
            <w:proofErr w:type="spellEnd"/>
            <w:r w:rsidRPr="007975C4">
              <w:rPr>
                <w:rFonts w:ascii="Palatino Linotype" w:hAnsi="Palatino Linotype"/>
                <w:color w:val="000000"/>
              </w:rPr>
              <w:t xml:space="preserve"> and repaired the surface enamel effectively.</w:t>
            </w:r>
          </w:p>
          <w:p w14:paraId="6E6E3723"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p w14:paraId="154626F7"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Enamel with the toothpaste formed a silicon-enriched mineral layer on the enamel</w:t>
            </w:r>
          </w:p>
          <w:p w14:paraId="3F517EEA"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surface.</w:t>
            </w:r>
          </w:p>
          <w:p w14:paraId="347E9ECA"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p w14:paraId="789E85AB"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The results were also consistent in the dentin, </w:t>
            </w:r>
            <w:proofErr w:type="gramStart"/>
            <w:r w:rsidRPr="007975C4">
              <w:rPr>
                <w:rFonts w:ascii="Palatino Linotype" w:hAnsi="Palatino Linotype"/>
                <w:color w:val="000000"/>
              </w:rPr>
              <w:t>where</w:t>
            </w:r>
            <w:proofErr w:type="gramEnd"/>
            <w:r w:rsidRPr="007975C4">
              <w:rPr>
                <w:rFonts w:ascii="Palatino Linotype" w:hAnsi="Palatino Linotype"/>
                <w:color w:val="000000"/>
              </w:rPr>
              <w:t xml:space="preserve"> the</w:t>
            </w:r>
          </w:p>
          <w:p w14:paraId="747AEC9A"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dentinal tubules were progressively occluded until there was complete occlusion after</w:t>
            </w:r>
          </w:p>
          <w:p w14:paraId="2AD3B6F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color w:val="000000"/>
              </w:rPr>
              <w:t>7 days.</w:t>
            </w:r>
          </w:p>
        </w:tc>
      </w:tr>
      <w:tr w:rsidR="007975C4" w:rsidRPr="007975C4" w14:paraId="1818E821" w14:textId="77777777" w:rsidTr="007975C4">
        <w:trPr>
          <w:cantSplit/>
          <w:trHeight w:val="144"/>
          <w:tblHeader/>
        </w:trPr>
        <w:tc>
          <w:tcPr>
            <w:tcW w:w="1515" w:type="dxa"/>
            <w:tcBorders>
              <w:left w:val="nil"/>
              <w:right w:val="nil"/>
            </w:tcBorders>
          </w:tcPr>
          <w:p w14:paraId="24C0ED5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Tomaz </w:t>
            </w:r>
            <w:r w:rsidRPr="007975C4">
              <w:rPr>
                <w:rFonts w:ascii="Palatino Linotype" w:hAnsi="Palatino Linotype"/>
              </w:rPr>
              <w:t>et al.</w:t>
            </w:r>
          </w:p>
          <w:p w14:paraId="185D221B"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(2020)</w:t>
            </w:r>
          </w:p>
        </w:tc>
        <w:tc>
          <w:tcPr>
            <w:tcW w:w="1590" w:type="dxa"/>
            <w:tcBorders>
              <w:left w:val="nil"/>
              <w:right w:val="nil"/>
            </w:tcBorders>
          </w:tcPr>
          <w:p w14:paraId="47F22BF1"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Effects of 1450-ppm Fluoride-containing</w:t>
            </w:r>
          </w:p>
          <w:p w14:paraId="308C96FE"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lastRenderedPageBreak/>
              <w:t>Toothpastes Associated with Boosters on the Enamel</w:t>
            </w:r>
          </w:p>
          <w:p w14:paraId="1C894AF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Remineralization and Surface Roughness after</w:t>
            </w:r>
          </w:p>
          <w:p w14:paraId="5A0DC483"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Cariogenic Challenge</w:t>
            </w:r>
          </w:p>
        </w:tc>
        <w:tc>
          <w:tcPr>
            <w:tcW w:w="2010" w:type="dxa"/>
            <w:gridSpan w:val="2"/>
            <w:tcBorders>
              <w:left w:val="nil"/>
              <w:right w:val="nil"/>
            </w:tcBorders>
          </w:tcPr>
          <w:p w14:paraId="67240D4A"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lastRenderedPageBreak/>
              <w:t>Investigated the remineralization potential of 1450</w:t>
            </w:r>
          </w:p>
          <w:p w14:paraId="6D1EB6D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ppm, fluoride-</w:t>
            </w:r>
            <w:r w:rsidRPr="007975C4">
              <w:rPr>
                <w:rFonts w:ascii="Palatino Linotype" w:hAnsi="Palatino Linotype"/>
                <w:color w:val="000000"/>
              </w:rPr>
              <w:lastRenderedPageBreak/>
              <w:t>containing toothpastes containing different active remineralization</w:t>
            </w:r>
          </w:p>
          <w:p w14:paraId="4E58F93F"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agents after cariogenic challenge with pH cycling.</w:t>
            </w:r>
          </w:p>
        </w:tc>
        <w:tc>
          <w:tcPr>
            <w:tcW w:w="1920" w:type="dxa"/>
            <w:tcBorders>
              <w:left w:val="nil"/>
              <w:right w:val="nil"/>
            </w:tcBorders>
          </w:tcPr>
          <w:p w14:paraId="465EC71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lastRenderedPageBreak/>
              <w:t>Mean and percentage</w:t>
            </w:r>
          </w:p>
          <w:p w14:paraId="3D07C79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of surface hardness </w:t>
            </w:r>
            <w:r w:rsidRPr="007975C4">
              <w:rPr>
                <w:rFonts w:ascii="Palatino Linotype" w:hAnsi="Palatino Linotype"/>
                <w:color w:val="000000"/>
              </w:rPr>
              <w:lastRenderedPageBreak/>
              <w:t>recovery (% SHR) were calculated. Surface enamel roughness (Ra)</w:t>
            </w:r>
          </w:p>
          <w:p w14:paraId="6E7FF13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was also evaluated. The pH, %weight of particles, zeta potential, and polydispersity</w:t>
            </w:r>
          </w:p>
          <w:p w14:paraId="3D54FE1B"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index of toothpaste slurries </w:t>
            </w:r>
            <w:proofErr w:type="gramStart"/>
            <w:r w:rsidRPr="007975C4">
              <w:rPr>
                <w:rFonts w:ascii="Palatino Linotype" w:hAnsi="Palatino Linotype"/>
                <w:color w:val="000000"/>
              </w:rPr>
              <w:t>were</w:t>
            </w:r>
            <w:proofErr w:type="gramEnd"/>
            <w:r w:rsidRPr="007975C4">
              <w:rPr>
                <w:rFonts w:ascii="Palatino Linotype" w:hAnsi="Palatino Linotype"/>
                <w:color w:val="000000"/>
              </w:rPr>
              <w:t xml:space="preserve"> also evaluated.</w:t>
            </w:r>
          </w:p>
        </w:tc>
        <w:tc>
          <w:tcPr>
            <w:tcW w:w="1620" w:type="dxa"/>
            <w:tcBorders>
              <w:left w:val="nil"/>
              <w:right w:val="nil"/>
            </w:tcBorders>
          </w:tcPr>
          <w:p w14:paraId="00A51DDD"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lastRenderedPageBreak/>
              <w:t xml:space="preserve">Bovine enamel blocks </w:t>
            </w:r>
            <w:r w:rsidRPr="007975C4">
              <w:rPr>
                <w:rFonts w:ascii="Palatino Linotype" w:hAnsi="Palatino Linotype"/>
                <w:color w:val="000000"/>
              </w:rPr>
              <w:br/>
              <w:t>(n=8/ per group)</w:t>
            </w:r>
          </w:p>
          <w:p w14:paraId="597768C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p w14:paraId="54FB4454"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7 days of pH cycling</w:t>
            </w:r>
          </w:p>
        </w:tc>
        <w:tc>
          <w:tcPr>
            <w:tcW w:w="1695" w:type="dxa"/>
            <w:tcBorders>
              <w:left w:val="nil"/>
              <w:right w:val="nil"/>
            </w:tcBorders>
          </w:tcPr>
          <w:p w14:paraId="46792BFF"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lastRenderedPageBreak/>
              <w:t>REFIX, NR-5,</w:t>
            </w:r>
          </w:p>
          <w:p w14:paraId="3199BB8A"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Candida Professional, Colgate Total </w:t>
            </w:r>
            <w:r w:rsidRPr="007975C4">
              <w:rPr>
                <w:rFonts w:ascii="Palatino Linotype" w:hAnsi="Palatino Linotype"/>
                <w:color w:val="000000"/>
              </w:rPr>
              <w:lastRenderedPageBreak/>
              <w:t xml:space="preserve">12 Daily </w:t>
            </w:r>
            <w:proofErr w:type="gramStart"/>
            <w:r w:rsidRPr="007975C4">
              <w:rPr>
                <w:rFonts w:ascii="Palatino Linotype" w:hAnsi="Palatino Linotype"/>
                <w:color w:val="000000"/>
              </w:rPr>
              <w:t>Repair,  Bianco</w:t>
            </w:r>
            <w:proofErr w:type="gramEnd"/>
            <w:r w:rsidRPr="007975C4">
              <w:rPr>
                <w:rFonts w:ascii="Palatino Linotype" w:hAnsi="Palatino Linotype"/>
                <w:color w:val="000000"/>
              </w:rPr>
              <w:t xml:space="preserve"> Pro Clinical, </w:t>
            </w:r>
            <w:proofErr w:type="spellStart"/>
            <w:r w:rsidRPr="007975C4">
              <w:rPr>
                <w:rFonts w:ascii="Palatino Linotype" w:hAnsi="Palatino Linotype"/>
                <w:color w:val="000000"/>
              </w:rPr>
              <w:t>Elmex</w:t>
            </w:r>
            <w:proofErr w:type="spellEnd"/>
            <w:r w:rsidRPr="007975C4">
              <w:rPr>
                <w:rFonts w:ascii="Palatino Linotype" w:hAnsi="Palatino Linotype"/>
                <w:color w:val="000000"/>
              </w:rPr>
              <w:t xml:space="preserve"> Sensitive</w:t>
            </w:r>
          </w:p>
        </w:tc>
        <w:tc>
          <w:tcPr>
            <w:tcW w:w="2070" w:type="dxa"/>
            <w:tcBorders>
              <w:left w:val="nil"/>
              <w:right w:val="nil"/>
            </w:tcBorders>
          </w:tcPr>
          <w:p w14:paraId="71BC782B"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lastRenderedPageBreak/>
              <w:t>Sodium fluoride,</w:t>
            </w:r>
          </w:p>
          <w:p w14:paraId="665AFE0F"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Tricalcium phosphate (β-TCP), </w:t>
            </w:r>
          </w:p>
          <w:p w14:paraId="4BD169C7"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lastRenderedPageBreak/>
              <w:t xml:space="preserve">Sodium </w:t>
            </w:r>
            <w:proofErr w:type="spellStart"/>
            <w:r w:rsidRPr="007975C4">
              <w:rPr>
                <w:rFonts w:ascii="Palatino Linotype" w:hAnsi="Palatino Linotype"/>
                <w:color w:val="000000"/>
              </w:rPr>
              <w:t>Monofuoro</w:t>
            </w:r>
            <w:proofErr w:type="spellEnd"/>
            <w:r w:rsidRPr="007975C4">
              <w:rPr>
                <w:rFonts w:ascii="Palatino Linotype" w:hAnsi="Palatino Linotype"/>
                <w:color w:val="000000"/>
              </w:rPr>
              <w:t xml:space="preserve">-phosphate, Oligopeptide-104, </w:t>
            </w:r>
          </w:p>
          <w:p w14:paraId="3BD3D973"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Calcium glycerophosphate, </w:t>
            </w:r>
          </w:p>
          <w:p w14:paraId="4949E8AB"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roofErr w:type="gramStart"/>
            <w:r w:rsidRPr="007975C4">
              <w:rPr>
                <w:rFonts w:ascii="Palatino Linotype" w:hAnsi="Palatino Linotype"/>
                <w:color w:val="000000"/>
              </w:rPr>
              <w:t>Triclosan,  Arginine</w:t>
            </w:r>
            <w:proofErr w:type="gramEnd"/>
            <w:r w:rsidRPr="007975C4">
              <w:rPr>
                <w:rFonts w:ascii="Palatino Linotype" w:hAnsi="Palatino Linotype"/>
                <w:color w:val="000000"/>
              </w:rPr>
              <w:t xml:space="preserve">, </w:t>
            </w:r>
          </w:p>
          <w:p w14:paraId="336FC46F"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Tetrasodium </w:t>
            </w:r>
            <w:proofErr w:type="gramStart"/>
            <w:r w:rsidRPr="007975C4">
              <w:rPr>
                <w:rFonts w:ascii="Palatino Linotype" w:hAnsi="Palatino Linotype"/>
                <w:color w:val="000000"/>
              </w:rPr>
              <w:t>pyrophosphate,  Calcium</w:t>
            </w:r>
            <w:proofErr w:type="gramEnd"/>
            <w:r w:rsidRPr="007975C4">
              <w:rPr>
                <w:rFonts w:ascii="Palatino Linotype" w:hAnsi="Palatino Linotype"/>
                <w:color w:val="000000"/>
              </w:rPr>
              <w:t xml:space="preserve"> silicate and</w:t>
            </w:r>
          </w:p>
          <w:p w14:paraId="61CFA7C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sodium phosphate</w:t>
            </w:r>
          </w:p>
        </w:tc>
        <w:tc>
          <w:tcPr>
            <w:tcW w:w="2505" w:type="dxa"/>
            <w:tcBorders>
              <w:left w:val="nil"/>
              <w:right w:val="nil"/>
            </w:tcBorders>
          </w:tcPr>
          <w:p w14:paraId="76641B6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lastRenderedPageBreak/>
              <w:t>The</w:t>
            </w:r>
          </w:p>
          <w:p w14:paraId="797C8C1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enamel subsurface was more effectively </w:t>
            </w:r>
            <w:proofErr w:type="spellStart"/>
            <w:r w:rsidRPr="007975C4">
              <w:rPr>
                <w:rFonts w:ascii="Palatino Linotype" w:hAnsi="Palatino Linotype"/>
                <w:color w:val="000000"/>
              </w:rPr>
              <w:t>remineralized</w:t>
            </w:r>
            <w:proofErr w:type="spellEnd"/>
            <w:r w:rsidRPr="007975C4">
              <w:rPr>
                <w:rFonts w:ascii="Palatino Linotype" w:hAnsi="Palatino Linotype"/>
                <w:color w:val="000000"/>
              </w:rPr>
              <w:t xml:space="preserve"> when </w:t>
            </w:r>
            <w:r w:rsidRPr="007975C4">
              <w:rPr>
                <w:rFonts w:ascii="Palatino Linotype" w:hAnsi="Palatino Linotype"/>
                <w:color w:val="000000"/>
              </w:rPr>
              <w:lastRenderedPageBreak/>
              <w:t xml:space="preserve">treated with Bianco Pro Clinical, </w:t>
            </w:r>
            <w:proofErr w:type="spellStart"/>
            <w:r w:rsidRPr="007975C4">
              <w:rPr>
                <w:rFonts w:ascii="Palatino Linotype" w:hAnsi="Palatino Linotype"/>
                <w:color w:val="000000"/>
              </w:rPr>
              <w:t>Elmex</w:t>
            </w:r>
            <w:proofErr w:type="spellEnd"/>
            <w:r w:rsidRPr="007975C4">
              <w:rPr>
                <w:rFonts w:ascii="Palatino Linotype" w:hAnsi="Palatino Linotype"/>
                <w:color w:val="000000"/>
              </w:rPr>
              <w:t xml:space="preserve"> Sensitive,</w:t>
            </w:r>
          </w:p>
          <w:p w14:paraId="3A1765C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and </w:t>
            </w:r>
            <w:proofErr w:type="gramStart"/>
            <w:r w:rsidRPr="007975C4">
              <w:rPr>
                <w:rFonts w:ascii="Palatino Linotype" w:hAnsi="Palatino Linotype"/>
                <w:color w:val="000000"/>
              </w:rPr>
              <w:t>Refix</w:t>
            </w:r>
            <w:proofErr w:type="gramEnd"/>
            <w:r w:rsidRPr="007975C4">
              <w:rPr>
                <w:rFonts w:ascii="Palatino Linotype" w:hAnsi="Palatino Linotype"/>
                <w:color w:val="000000"/>
              </w:rPr>
              <w:t>. The surface roughness was higher when the demineralized third was treated</w:t>
            </w:r>
          </w:p>
          <w:p w14:paraId="2EA8AD9B"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with Refix, and NR-</w:t>
            </w:r>
            <w:proofErr w:type="gramStart"/>
            <w:r w:rsidRPr="007975C4">
              <w:rPr>
                <w:rFonts w:ascii="Palatino Linotype" w:hAnsi="Palatino Linotype"/>
                <w:color w:val="000000"/>
              </w:rPr>
              <w:t>5  and</w:t>
            </w:r>
            <w:proofErr w:type="gramEnd"/>
            <w:r w:rsidRPr="007975C4">
              <w:rPr>
                <w:rFonts w:ascii="Palatino Linotype" w:hAnsi="Palatino Linotype"/>
                <w:color w:val="000000"/>
              </w:rPr>
              <w:t xml:space="preserve"> after the cariogenic challenge.</w:t>
            </w:r>
          </w:p>
        </w:tc>
      </w:tr>
      <w:tr w:rsidR="007975C4" w:rsidRPr="007975C4" w14:paraId="1374BA4A" w14:textId="77777777" w:rsidTr="007975C4">
        <w:trPr>
          <w:cantSplit/>
          <w:trHeight w:val="8112"/>
          <w:tblHeader/>
        </w:trPr>
        <w:tc>
          <w:tcPr>
            <w:tcW w:w="1515" w:type="dxa"/>
            <w:tcBorders>
              <w:left w:val="nil"/>
              <w:right w:val="nil"/>
            </w:tcBorders>
          </w:tcPr>
          <w:p w14:paraId="0E8E0525" w14:textId="21064181"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lastRenderedPageBreak/>
              <w:t xml:space="preserve"> El-</w:t>
            </w:r>
            <w:proofErr w:type="spellStart"/>
            <w:r w:rsidRPr="007975C4">
              <w:rPr>
                <w:rFonts w:ascii="Palatino Linotype" w:hAnsi="Palatino Linotype"/>
              </w:rPr>
              <w:t>Damanhouryet</w:t>
            </w:r>
            <w:proofErr w:type="spellEnd"/>
            <w:r w:rsidRPr="007975C4">
              <w:rPr>
                <w:rFonts w:ascii="Palatino Linotype" w:hAnsi="Palatino Linotype"/>
              </w:rPr>
              <w:t xml:space="preserve"> al. (2021)</w:t>
            </w:r>
          </w:p>
        </w:tc>
        <w:tc>
          <w:tcPr>
            <w:tcW w:w="1590" w:type="dxa"/>
            <w:tcBorders>
              <w:left w:val="nil"/>
              <w:right w:val="nil"/>
            </w:tcBorders>
          </w:tcPr>
          <w:p w14:paraId="7968170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 xml:space="preserve">In Vitro Enamel Remineralization Efficacy of Calcium Silicate-Sodium Phosphate-Fluoride Salts versus </w:t>
            </w:r>
            <w:proofErr w:type="spellStart"/>
            <w:r w:rsidRPr="007975C4">
              <w:rPr>
                <w:rFonts w:ascii="Palatino Linotype" w:hAnsi="Palatino Linotype"/>
              </w:rPr>
              <w:t>NovaMin</w:t>
            </w:r>
            <w:proofErr w:type="spellEnd"/>
            <w:r w:rsidRPr="007975C4">
              <w:rPr>
                <w:rFonts w:ascii="Palatino Linotype" w:hAnsi="Palatino Linotype"/>
              </w:rPr>
              <w:t xml:space="preserve"> Bioactive Glass, Following Tooth Whitening</w:t>
            </w:r>
          </w:p>
        </w:tc>
        <w:tc>
          <w:tcPr>
            <w:tcW w:w="2010" w:type="dxa"/>
            <w:gridSpan w:val="2"/>
            <w:tcBorders>
              <w:left w:val="nil"/>
              <w:right w:val="nil"/>
            </w:tcBorders>
          </w:tcPr>
          <w:p w14:paraId="7B87307F"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 xml:space="preserve">To evaluate the effect of in-office bleaching on enamel surface and compare the efficacy of Calcium Silicate-Sodium Phosphate-Fluoride (CS) and </w:t>
            </w:r>
            <w:proofErr w:type="spellStart"/>
            <w:r w:rsidRPr="007975C4">
              <w:rPr>
                <w:rFonts w:ascii="Palatino Linotype" w:hAnsi="Palatino Linotype"/>
              </w:rPr>
              <w:t>NovaMin</w:t>
            </w:r>
            <w:proofErr w:type="spellEnd"/>
            <w:r w:rsidRPr="007975C4">
              <w:rPr>
                <w:rFonts w:ascii="Palatino Linotype" w:hAnsi="Palatino Linotype"/>
              </w:rPr>
              <w:t xml:space="preserve"> bioactive glass (NM) in remineralizing bleached enamel</w:t>
            </w:r>
          </w:p>
        </w:tc>
        <w:tc>
          <w:tcPr>
            <w:tcW w:w="1920" w:type="dxa"/>
            <w:tcBorders>
              <w:left w:val="nil"/>
              <w:right w:val="nil"/>
            </w:tcBorders>
          </w:tcPr>
          <w:p w14:paraId="0C5C69E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Surface Microhardness (Knoop Hardness Number (KHN), Surface Roughness, SEM/EDX Elemental Analysis</w:t>
            </w:r>
          </w:p>
        </w:tc>
        <w:tc>
          <w:tcPr>
            <w:tcW w:w="1620" w:type="dxa"/>
            <w:tcBorders>
              <w:left w:val="nil"/>
              <w:right w:val="nil"/>
            </w:tcBorders>
          </w:tcPr>
          <w:p w14:paraId="5056AC63"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rPr>
              <w:t>40 human premolars (n=10)</w:t>
            </w:r>
          </w:p>
          <w:p w14:paraId="28202F07"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p w14:paraId="75B8E9F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7 days pH cycling</w:t>
            </w:r>
          </w:p>
        </w:tc>
        <w:tc>
          <w:tcPr>
            <w:tcW w:w="1695" w:type="dxa"/>
            <w:tcBorders>
              <w:left w:val="nil"/>
              <w:right w:val="nil"/>
            </w:tcBorders>
          </w:tcPr>
          <w:p w14:paraId="51F3D0EA"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 xml:space="preserve">Toothpaste with </w:t>
            </w:r>
            <w:proofErr w:type="spellStart"/>
            <w:r w:rsidRPr="007975C4">
              <w:rPr>
                <w:rFonts w:ascii="Palatino Linotype" w:hAnsi="Palatino Linotype"/>
              </w:rPr>
              <w:t>Novamin</w:t>
            </w:r>
            <w:proofErr w:type="spellEnd"/>
            <w:r w:rsidRPr="007975C4">
              <w:rPr>
                <w:rFonts w:ascii="Palatino Linotype" w:hAnsi="Palatino Linotype"/>
              </w:rPr>
              <w:t xml:space="preserve"> Bioactive Glass (NM</w:t>
            </w:r>
            <w:proofErr w:type="gramStart"/>
            <w:r w:rsidRPr="007975C4">
              <w:rPr>
                <w:rFonts w:ascii="Palatino Linotype" w:hAnsi="Palatino Linotype"/>
              </w:rPr>
              <w:t>),  NR</w:t>
            </w:r>
            <w:proofErr w:type="gramEnd"/>
            <w:r w:rsidRPr="007975C4">
              <w:rPr>
                <w:rFonts w:ascii="Palatino Linotype" w:hAnsi="Palatino Linotype"/>
              </w:rPr>
              <w:t xml:space="preserve">-5 (CS) and </w:t>
            </w:r>
            <w:r w:rsidRPr="007975C4">
              <w:rPr>
                <w:rFonts w:ascii="Palatino Linotype" w:hAnsi="Palatino Linotype"/>
                <w:color w:val="212121"/>
                <w:highlight w:val="white"/>
              </w:rPr>
              <w:t>additional treatment with NR-5 boosting serum (CS+NR-5)</w:t>
            </w:r>
            <w:r w:rsidRPr="007975C4">
              <w:rPr>
                <w:rFonts w:ascii="Palatino Linotype" w:hAnsi="Palatino Linotype"/>
              </w:rPr>
              <w:t xml:space="preserve">, </w:t>
            </w:r>
          </w:p>
        </w:tc>
        <w:tc>
          <w:tcPr>
            <w:tcW w:w="2070" w:type="dxa"/>
            <w:tcBorders>
              <w:left w:val="nil"/>
              <w:right w:val="nil"/>
            </w:tcBorders>
          </w:tcPr>
          <w:p w14:paraId="11A27F5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color w:val="212121"/>
                <w:highlight w:val="white"/>
              </w:rPr>
              <w:t xml:space="preserve">silica, calcium sodium </w:t>
            </w:r>
            <w:proofErr w:type="spellStart"/>
            <w:r w:rsidRPr="007975C4">
              <w:rPr>
                <w:rFonts w:ascii="Palatino Linotype" w:hAnsi="Palatino Linotype"/>
                <w:color w:val="212121"/>
                <w:highlight w:val="white"/>
              </w:rPr>
              <w:t>phosphosilicate</w:t>
            </w:r>
            <w:proofErr w:type="spellEnd"/>
            <w:r w:rsidRPr="007975C4">
              <w:rPr>
                <w:rFonts w:ascii="Palatino Linotype" w:hAnsi="Palatino Linotype"/>
                <w:color w:val="212121"/>
                <w:highlight w:val="white"/>
              </w:rPr>
              <w:t xml:space="preserve"> (</w:t>
            </w:r>
            <w:proofErr w:type="spellStart"/>
            <w:r w:rsidRPr="007975C4">
              <w:rPr>
                <w:rFonts w:ascii="Palatino Linotype" w:hAnsi="Palatino Linotype"/>
                <w:color w:val="212121"/>
                <w:highlight w:val="white"/>
              </w:rPr>
              <w:t>Novamin</w:t>
            </w:r>
            <w:proofErr w:type="spellEnd"/>
            <w:r w:rsidRPr="007975C4">
              <w:rPr>
                <w:rFonts w:ascii="Palatino Linotype" w:hAnsi="Palatino Linotype"/>
                <w:color w:val="212121"/>
                <w:highlight w:val="white"/>
              </w:rPr>
              <w:t xml:space="preserve">), sodium </w:t>
            </w:r>
            <w:proofErr w:type="spellStart"/>
            <w:r w:rsidRPr="007975C4">
              <w:rPr>
                <w:rFonts w:ascii="Palatino Linotype" w:hAnsi="Palatino Linotype"/>
                <w:color w:val="212121"/>
                <w:highlight w:val="white"/>
              </w:rPr>
              <w:t>monofluorophosphate</w:t>
            </w:r>
            <w:proofErr w:type="spellEnd"/>
          </w:p>
          <w:p w14:paraId="21FC20BF"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rPr>
              <w:t xml:space="preserve">Calcium Silicate-Sodium Phosphate with Sodium </w:t>
            </w:r>
            <w:proofErr w:type="spellStart"/>
            <w:r w:rsidRPr="007975C4">
              <w:rPr>
                <w:rFonts w:ascii="Palatino Linotype" w:hAnsi="Palatino Linotype"/>
              </w:rPr>
              <w:t>Monofluorophosphate</w:t>
            </w:r>
            <w:proofErr w:type="spellEnd"/>
            <w:r w:rsidRPr="007975C4">
              <w:rPr>
                <w:rFonts w:ascii="Palatino Linotype" w:hAnsi="Palatino Linotype"/>
              </w:rPr>
              <w:t>, hydrated silica (NR-5)</w:t>
            </w:r>
          </w:p>
          <w:p w14:paraId="608107B1"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p w14:paraId="5110F601"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tc>
        <w:tc>
          <w:tcPr>
            <w:tcW w:w="2505" w:type="dxa"/>
            <w:tcBorders>
              <w:left w:val="nil"/>
              <w:right w:val="nil"/>
            </w:tcBorders>
          </w:tcPr>
          <w:p w14:paraId="12BA6300"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CS and CS+NR-5 showed superior remineralization compared to NM. All remineralization agents increased hardness and decreased surface roughness after bleaching, but NM had a significantly higher surface roughness. CS and CS+NR-5 were more effective in restoring hardness and smoothness.</w:t>
            </w:r>
          </w:p>
        </w:tc>
      </w:tr>
      <w:tr w:rsidR="007975C4" w:rsidRPr="007975C4" w14:paraId="67F90317" w14:textId="77777777" w:rsidTr="007975C4">
        <w:trPr>
          <w:cantSplit/>
          <w:trHeight w:val="8112"/>
          <w:tblHeader/>
        </w:trPr>
        <w:tc>
          <w:tcPr>
            <w:tcW w:w="1515" w:type="dxa"/>
            <w:tcBorders>
              <w:left w:val="nil"/>
              <w:right w:val="nil"/>
            </w:tcBorders>
          </w:tcPr>
          <w:p w14:paraId="001B60B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lastRenderedPageBreak/>
              <w:t xml:space="preserve">Fernandes </w:t>
            </w:r>
            <w:r w:rsidRPr="007975C4">
              <w:rPr>
                <w:rFonts w:ascii="Palatino Linotype" w:hAnsi="Palatino Linotype"/>
              </w:rPr>
              <w:t>et al.</w:t>
            </w:r>
          </w:p>
          <w:p w14:paraId="3559BF9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color w:val="000000"/>
              </w:rPr>
              <w:t>(2021)</w:t>
            </w:r>
          </w:p>
        </w:tc>
        <w:tc>
          <w:tcPr>
            <w:tcW w:w="1590" w:type="dxa"/>
            <w:tcBorders>
              <w:left w:val="nil"/>
              <w:right w:val="nil"/>
            </w:tcBorders>
          </w:tcPr>
          <w:p w14:paraId="4F17FAC4"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Resistance against Erosive Challenge of Dental</w:t>
            </w:r>
          </w:p>
          <w:p w14:paraId="65FC238B"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Enamel Treated with 1,450-PPM Fluoride Toothpastes</w:t>
            </w:r>
          </w:p>
          <w:p w14:paraId="14EC6C6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Containing Different Biomimetic Compounds</w:t>
            </w:r>
          </w:p>
          <w:p w14:paraId="4D0699C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tc>
        <w:tc>
          <w:tcPr>
            <w:tcW w:w="2010" w:type="dxa"/>
            <w:gridSpan w:val="2"/>
            <w:tcBorders>
              <w:left w:val="nil"/>
              <w:right w:val="nil"/>
            </w:tcBorders>
          </w:tcPr>
          <w:p w14:paraId="31DDD957"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This in vitro study aimed to characterize the superficial and subsurface</w:t>
            </w:r>
          </w:p>
          <w:p w14:paraId="26E7B89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morphology of dental enamel treated with fluoridated gels containing different bio-</w:t>
            </w:r>
          </w:p>
          <w:p w14:paraId="22A17ED4"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mimetic compounds after erosive challenge.</w:t>
            </w:r>
          </w:p>
          <w:p w14:paraId="288B5C2A"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tc>
        <w:tc>
          <w:tcPr>
            <w:tcW w:w="1920" w:type="dxa"/>
            <w:tcBorders>
              <w:left w:val="nil"/>
              <w:right w:val="nil"/>
            </w:tcBorders>
          </w:tcPr>
          <w:p w14:paraId="055B863C"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The surface and cross-sectional micromorphology were assessed</w:t>
            </w:r>
          </w:p>
          <w:p w14:paraId="2339708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using scanning electron microscope (SEM). The elemental analyses (weight percent-</w:t>
            </w:r>
          </w:p>
          <w:p w14:paraId="6D9DF45B"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age) were determined with an energy-dispersive X-ray spectroscopy (EDS).</w:t>
            </w:r>
          </w:p>
          <w:p w14:paraId="5FB42BB0"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tc>
        <w:tc>
          <w:tcPr>
            <w:tcW w:w="1620" w:type="dxa"/>
            <w:tcBorders>
              <w:left w:val="nil"/>
              <w:right w:val="nil"/>
            </w:tcBorders>
          </w:tcPr>
          <w:p w14:paraId="1DFCD6AE"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Bovine enamel blocks </w:t>
            </w:r>
            <w:r w:rsidRPr="007975C4">
              <w:rPr>
                <w:rFonts w:ascii="Palatino Linotype" w:hAnsi="Palatino Linotype"/>
                <w:color w:val="000000"/>
              </w:rPr>
              <w:br/>
              <w:t>(n=5/ per group)</w:t>
            </w:r>
          </w:p>
          <w:p w14:paraId="07C49F97"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p w14:paraId="1D2B172F"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color w:val="000000"/>
              </w:rPr>
              <w:t>6 days of pH cycling</w:t>
            </w:r>
          </w:p>
        </w:tc>
        <w:tc>
          <w:tcPr>
            <w:tcW w:w="1695" w:type="dxa"/>
            <w:tcBorders>
              <w:left w:val="nil"/>
              <w:right w:val="nil"/>
            </w:tcBorders>
          </w:tcPr>
          <w:p w14:paraId="192529D0"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NR-5, REFIX, </w:t>
            </w:r>
            <w:proofErr w:type="spellStart"/>
            <w:r w:rsidRPr="007975C4">
              <w:rPr>
                <w:rFonts w:ascii="Palatino Linotype" w:hAnsi="Palatino Linotype"/>
                <w:color w:val="000000"/>
              </w:rPr>
              <w:t>Novamin</w:t>
            </w:r>
            <w:proofErr w:type="spellEnd"/>
            <w:r w:rsidRPr="007975C4">
              <w:rPr>
                <w:rFonts w:ascii="Palatino Linotype" w:hAnsi="Palatino Linotype"/>
                <w:color w:val="000000"/>
              </w:rPr>
              <w:t>.</w:t>
            </w:r>
          </w:p>
          <w:p w14:paraId="41C1CBD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tc>
        <w:tc>
          <w:tcPr>
            <w:tcW w:w="2070" w:type="dxa"/>
            <w:tcBorders>
              <w:left w:val="nil"/>
              <w:right w:val="nil"/>
            </w:tcBorders>
          </w:tcPr>
          <w:p w14:paraId="42B577DB"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Fluoride sodium, triclosan, arginine, tetrasodium pyrophosphate</w:t>
            </w:r>
          </w:p>
          <w:p w14:paraId="46C3DF5B"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p w14:paraId="635C74E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Sodium</w:t>
            </w:r>
          </w:p>
          <w:p w14:paraId="6CFCDF3C"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roofErr w:type="spellStart"/>
            <w:r w:rsidRPr="007975C4">
              <w:rPr>
                <w:rFonts w:ascii="Palatino Linotype" w:hAnsi="Palatino Linotype"/>
                <w:color w:val="000000"/>
              </w:rPr>
              <w:t>monofuorophosphate</w:t>
            </w:r>
            <w:proofErr w:type="spellEnd"/>
            <w:r w:rsidRPr="007975C4">
              <w:rPr>
                <w:rFonts w:ascii="Palatino Linotype" w:hAnsi="Palatino Linotype"/>
                <w:color w:val="000000"/>
              </w:rPr>
              <w:t>, calcium silicate and</w:t>
            </w:r>
          </w:p>
          <w:p w14:paraId="3C0CF88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sodium phosphate </w:t>
            </w:r>
          </w:p>
          <w:p w14:paraId="58A75D6F"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p w14:paraId="27B857F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Calcium</w:t>
            </w:r>
          </w:p>
          <w:p w14:paraId="6613AD7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sodium </w:t>
            </w:r>
            <w:proofErr w:type="spellStart"/>
            <w:r w:rsidRPr="007975C4">
              <w:rPr>
                <w:rFonts w:ascii="Palatino Linotype" w:hAnsi="Palatino Linotype"/>
                <w:color w:val="000000"/>
              </w:rPr>
              <w:t>phosphosilicate</w:t>
            </w:r>
            <w:proofErr w:type="spellEnd"/>
            <w:r w:rsidRPr="007975C4">
              <w:rPr>
                <w:rFonts w:ascii="Palatino Linotype" w:hAnsi="Palatino Linotype"/>
                <w:color w:val="000000"/>
              </w:rPr>
              <w:t xml:space="preserve"> 5%</w:t>
            </w:r>
          </w:p>
          <w:p w14:paraId="1BF2AF6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212121"/>
                <w:highlight w:val="white"/>
              </w:rPr>
            </w:pPr>
          </w:p>
        </w:tc>
        <w:tc>
          <w:tcPr>
            <w:tcW w:w="2505" w:type="dxa"/>
            <w:tcBorders>
              <w:left w:val="nil"/>
              <w:right w:val="nil"/>
            </w:tcBorders>
          </w:tcPr>
          <w:p w14:paraId="48400851"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Enamel treated with the product containing REFIX technology presented a</w:t>
            </w:r>
          </w:p>
          <w:p w14:paraId="5B8BD59A"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smoother surface morphology compared to the other treatments. The higher </w:t>
            </w:r>
            <w:proofErr w:type="spellStart"/>
            <w:r w:rsidRPr="007975C4">
              <w:rPr>
                <w:rFonts w:ascii="Palatino Linotype" w:hAnsi="Palatino Linotype"/>
                <w:color w:val="000000"/>
              </w:rPr>
              <w:t>resis</w:t>
            </w:r>
            <w:proofErr w:type="spellEnd"/>
            <w:r w:rsidRPr="007975C4">
              <w:rPr>
                <w:rFonts w:ascii="Palatino Linotype" w:hAnsi="Palatino Linotype"/>
                <w:color w:val="000000"/>
              </w:rPr>
              <w:t>-</w:t>
            </w:r>
          </w:p>
          <w:p w14:paraId="1E8E6E6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roofErr w:type="spellStart"/>
            <w:r w:rsidRPr="007975C4">
              <w:rPr>
                <w:rFonts w:ascii="Palatino Linotype" w:hAnsi="Palatino Linotype"/>
                <w:color w:val="000000"/>
              </w:rPr>
              <w:t>tance</w:t>
            </w:r>
            <w:proofErr w:type="spellEnd"/>
            <w:r w:rsidRPr="007975C4">
              <w:rPr>
                <w:rFonts w:ascii="Palatino Linotype" w:hAnsi="Palatino Linotype"/>
                <w:color w:val="000000"/>
              </w:rPr>
              <w:t xml:space="preserve"> to the erosive challenge can be attributed to a silicon-enriched mineral layer</w:t>
            </w:r>
          </w:p>
          <w:p w14:paraId="592E501D"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formed on the enamel induced by the REFIX-based toothpaste.</w:t>
            </w:r>
          </w:p>
          <w:p w14:paraId="60C45B8C"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tc>
      </w:tr>
      <w:tr w:rsidR="007975C4" w:rsidRPr="007975C4" w14:paraId="0074AFB9" w14:textId="77777777" w:rsidTr="007975C4">
        <w:trPr>
          <w:cantSplit/>
          <w:trHeight w:val="8112"/>
          <w:tblHeader/>
        </w:trPr>
        <w:tc>
          <w:tcPr>
            <w:tcW w:w="1515" w:type="dxa"/>
            <w:tcBorders>
              <w:left w:val="nil"/>
              <w:right w:val="nil"/>
            </w:tcBorders>
          </w:tcPr>
          <w:p w14:paraId="56F88583"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lastRenderedPageBreak/>
              <w:t>Rahman et al. (2021)</w:t>
            </w:r>
          </w:p>
        </w:tc>
        <w:tc>
          <w:tcPr>
            <w:tcW w:w="1590" w:type="dxa"/>
            <w:tcBorders>
              <w:left w:val="nil"/>
              <w:right w:val="nil"/>
            </w:tcBorders>
          </w:tcPr>
          <w:p w14:paraId="1726CB9C"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Effect of Calcium Silicate, Sodium Phosphate, and Fluoride on Dentinal Tubule Occlusion and Permeability in Comparison to Desensitizing Toothpaste: An In Vitro Study</w:t>
            </w:r>
          </w:p>
        </w:tc>
        <w:tc>
          <w:tcPr>
            <w:tcW w:w="2010" w:type="dxa"/>
            <w:gridSpan w:val="2"/>
            <w:tcBorders>
              <w:left w:val="nil"/>
              <w:right w:val="nil"/>
            </w:tcBorders>
          </w:tcPr>
          <w:p w14:paraId="1743B87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 xml:space="preserve">To compare the efficacy of </w:t>
            </w:r>
            <w:r w:rsidRPr="007975C4">
              <w:rPr>
                <w:rFonts w:ascii="Palatino Linotype" w:eastAsia="Roboto" w:hAnsi="Palatino Linotype" w:cs="Roboto"/>
                <w:color w:val="212121"/>
                <w:highlight w:val="white"/>
              </w:rPr>
              <w:t>a calcium silicate-, sodium phosphate-, and fluoride-based (CSSPF)</w:t>
            </w:r>
            <w:r w:rsidRPr="007975C4">
              <w:rPr>
                <w:rFonts w:ascii="Palatino Linotype" w:hAnsi="Palatino Linotype"/>
              </w:rPr>
              <w:t>toothpaste in promoting dentinal tubule occlusion and reducing dentin permeability against other commercial desensitizing toothpastes</w:t>
            </w:r>
          </w:p>
        </w:tc>
        <w:tc>
          <w:tcPr>
            <w:tcW w:w="1920" w:type="dxa"/>
            <w:tcBorders>
              <w:left w:val="nil"/>
              <w:right w:val="nil"/>
            </w:tcBorders>
          </w:tcPr>
          <w:p w14:paraId="1C07B78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Dye Percolation (DP%) test, SEM microphotographs, EDS elemental analysis</w:t>
            </w:r>
          </w:p>
        </w:tc>
        <w:tc>
          <w:tcPr>
            <w:tcW w:w="1620" w:type="dxa"/>
            <w:tcBorders>
              <w:left w:val="nil"/>
              <w:right w:val="nil"/>
            </w:tcBorders>
          </w:tcPr>
          <w:p w14:paraId="6F183571"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SS: 78 human dentin discs; FU: 7 days</w:t>
            </w:r>
          </w:p>
        </w:tc>
        <w:tc>
          <w:tcPr>
            <w:tcW w:w="1695" w:type="dxa"/>
            <w:tcBorders>
              <w:left w:val="nil"/>
              <w:right w:val="nil"/>
            </w:tcBorders>
          </w:tcPr>
          <w:p w14:paraId="0EC71EE0"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Calcium silicate, sodium phosphate, fluoride (Regenerate Advanced); Bioactive Glass (</w:t>
            </w:r>
            <w:proofErr w:type="spellStart"/>
            <w:r w:rsidRPr="007975C4">
              <w:rPr>
                <w:rFonts w:ascii="Palatino Linotype" w:hAnsi="Palatino Linotype"/>
              </w:rPr>
              <w:t>NovaMin</w:t>
            </w:r>
            <w:proofErr w:type="spellEnd"/>
            <w:r w:rsidRPr="007975C4">
              <w:rPr>
                <w:rFonts w:ascii="Palatino Linotype" w:hAnsi="Palatino Linotype"/>
              </w:rPr>
              <w:t xml:space="preserve"> - Sensodyne Repair and Protect); Potassium Nitrate (Signal Sensitive Expert)</w:t>
            </w:r>
          </w:p>
        </w:tc>
        <w:tc>
          <w:tcPr>
            <w:tcW w:w="2070" w:type="dxa"/>
            <w:tcBorders>
              <w:left w:val="nil"/>
              <w:right w:val="nil"/>
            </w:tcBorders>
          </w:tcPr>
          <w:p w14:paraId="07F81D5E"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 xml:space="preserve">Sodium </w:t>
            </w:r>
            <w:proofErr w:type="spellStart"/>
            <w:r w:rsidRPr="007975C4">
              <w:rPr>
                <w:rFonts w:ascii="Palatino Linotype" w:hAnsi="Palatino Linotype"/>
              </w:rPr>
              <w:t>monofluorophosphate</w:t>
            </w:r>
            <w:proofErr w:type="spellEnd"/>
            <w:r w:rsidRPr="007975C4">
              <w:rPr>
                <w:rFonts w:ascii="Palatino Linotype" w:hAnsi="Palatino Linotype"/>
              </w:rPr>
              <w:t xml:space="preserve"> (1450 ppm fluoride), calcium silicate, trisodium phosphate, hydrated silica (Regenerate); Sodium </w:t>
            </w:r>
            <w:proofErr w:type="spellStart"/>
            <w:r w:rsidRPr="007975C4">
              <w:rPr>
                <w:rFonts w:ascii="Palatino Linotype" w:hAnsi="Palatino Linotype"/>
              </w:rPr>
              <w:t>monofluorophosphate</w:t>
            </w:r>
            <w:proofErr w:type="spellEnd"/>
            <w:r w:rsidRPr="007975C4">
              <w:rPr>
                <w:rFonts w:ascii="Palatino Linotype" w:hAnsi="Palatino Linotype"/>
              </w:rPr>
              <w:t xml:space="preserve"> (Sensodyne); Potassium nitrate, Sodium fluoride (Signal)</w:t>
            </w:r>
          </w:p>
        </w:tc>
        <w:tc>
          <w:tcPr>
            <w:tcW w:w="2505" w:type="dxa"/>
            <w:tcBorders>
              <w:left w:val="nil"/>
              <w:right w:val="nil"/>
            </w:tcBorders>
          </w:tcPr>
          <w:p w14:paraId="548B562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 xml:space="preserve">The Regenerate demonstrated the highest dentinal tubule occlusion and calcium deposition, significantly reducing dentin permeability. </w:t>
            </w:r>
            <w:proofErr w:type="spellStart"/>
            <w:r w:rsidRPr="007975C4">
              <w:rPr>
                <w:rFonts w:ascii="Palatino Linotype" w:hAnsi="Palatino Linotype"/>
              </w:rPr>
              <w:t>Novamin</w:t>
            </w:r>
            <w:proofErr w:type="spellEnd"/>
            <w:r w:rsidRPr="007975C4">
              <w:rPr>
                <w:rFonts w:ascii="Palatino Linotype" w:hAnsi="Palatino Linotype"/>
              </w:rPr>
              <w:t xml:space="preserve"> also showed effective tubule occlusion but with less calcium deposition compared to Regenerate. Signal Sensitive Expert, using potassium nitrate, showed effective tubule occlusion and permeability reduction, but was less effective overall compared to both Regenerate and Sensodyne in terms of calcium deposition and tubule occlusion.</w:t>
            </w:r>
          </w:p>
        </w:tc>
      </w:tr>
      <w:tr w:rsidR="007975C4" w:rsidRPr="007975C4" w14:paraId="15F3A1A3" w14:textId="77777777" w:rsidTr="007975C4">
        <w:trPr>
          <w:cantSplit/>
          <w:trHeight w:val="8112"/>
          <w:tblHeader/>
        </w:trPr>
        <w:tc>
          <w:tcPr>
            <w:tcW w:w="1515" w:type="dxa"/>
            <w:tcBorders>
              <w:left w:val="nil"/>
              <w:right w:val="nil"/>
            </w:tcBorders>
          </w:tcPr>
          <w:p w14:paraId="1785FD5D"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lastRenderedPageBreak/>
              <w:t xml:space="preserve">Vilhena </w:t>
            </w:r>
            <w:r w:rsidRPr="007975C4">
              <w:rPr>
                <w:rFonts w:ascii="Palatino Linotype" w:hAnsi="Palatino Linotype"/>
              </w:rPr>
              <w:t>et al.</w:t>
            </w:r>
          </w:p>
          <w:p w14:paraId="0A559243"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(2021)</w:t>
            </w:r>
          </w:p>
        </w:tc>
        <w:tc>
          <w:tcPr>
            <w:tcW w:w="1590" w:type="dxa"/>
            <w:tcBorders>
              <w:left w:val="nil"/>
              <w:right w:val="nil"/>
            </w:tcBorders>
          </w:tcPr>
          <w:p w14:paraId="0FD8B92C"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Silicon-enriched hydroxyapatite formed induced by REFIX-based</w:t>
            </w:r>
          </w:p>
          <w:p w14:paraId="084477E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toothpaste on the enamel surface</w:t>
            </w:r>
          </w:p>
        </w:tc>
        <w:tc>
          <w:tcPr>
            <w:tcW w:w="2010" w:type="dxa"/>
            <w:gridSpan w:val="2"/>
            <w:tcBorders>
              <w:left w:val="nil"/>
              <w:right w:val="nil"/>
            </w:tcBorders>
          </w:tcPr>
          <w:p w14:paraId="3A002B0B"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At characterizing the mineral content and filler particle morphology of a fluoridated</w:t>
            </w:r>
          </w:p>
          <w:p w14:paraId="33800EBA"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toothpaste containing REFIX technology and the mineral content and the morphology of the enamel surface treated</w:t>
            </w:r>
          </w:p>
          <w:p w14:paraId="52C1C53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with this product.</w:t>
            </w:r>
          </w:p>
        </w:tc>
        <w:tc>
          <w:tcPr>
            <w:tcW w:w="1920" w:type="dxa"/>
            <w:tcBorders>
              <w:left w:val="nil"/>
              <w:right w:val="nil"/>
            </w:tcBorders>
          </w:tcPr>
          <w:p w14:paraId="6EB7D267"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The surface morphology was assessed using scanning electron microscopy (SEM). The elemental analyses</w:t>
            </w:r>
          </w:p>
          <w:p w14:paraId="1D0FAA30"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were performed using an energy-dispersive X-ray spectrometer (EDS).</w:t>
            </w:r>
          </w:p>
        </w:tc>
        <w:tc>
          <w:tcPr>
            <w:tcW w:w="1620" w:type="dxa"/>
            <w:tcBorders>
              <w:left w:val="nil"/>
              <w:right w:val="nil"/>
            </w:tcBorders>
          </w:tcPr>
          <w:p w14:paraId="7D00B52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Bovine enamel blocks </w:t>
            </w:r>
            <w:r w:rsidRPr="007975C4">
              <w:rPr>
                <w:rFonts w:ascii="Palatino Linotype" w:hAnsi="Palatino Linotype"/>
                <w:color w:val="000000"/>
              </w:rPr>
              <w:br/>
              <w:t>(n=5)</w:t>
            </w:r>
          </w:p>
          <w:p w14:paraId="1F32581C"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p w14:paraId="696AF3D3"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7 days of pH cycling</w:t>
            </w:r>
          </w:p>
        </w:tc>
        <w:tc>
          <w:tcPr>
            <w:tcW w:w="1695" w:type="dxa"/>
            <w:tcBorders>
              <w:left w:val="nil"/>
              <w:right w:val="nil"/>
            </w:tcBorders>
          </w:tcPr>
          <w:p w14:paraId="4718D4B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REFIX technology</w:t>
            </w:r>
          </w:p>
        </w:tc>
        <w:tc>
          <w:tcPr>
            <w:tcW w:w="2070" w:type="dxa"/>
            <w:tcBorders>
              <w:left w:val="nil"/>
              <w:right w:val="nil"/>
            </w:tcBorders>
          </w:tcPr>
          <w:p w14:paraId="1EA491D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Fluoride sodium, tetrasodium pyrophosphate</w:t>
            </w:r>
          </w:p>
          <w:p w14:paraId="2A7BFBDD"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tc>
        <w:tc>
          <w:tcPr>
            <w:tcW w:w="2505" w:type="dxa"/>
            <w:tcBorders>
              <w:left w:val="nil"/>
              <w:right w:val="nil"/>
            </w:tcBorders>
          </w:tcPr>
          <w:p w14:paraId="717A1271"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Elemental</w:t>
            </w:r>
          </w:p>
          <w:p w14:paraId="73226BFD"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analysis of the toothpaste’s formulation demonstrated the presence of Si (silicon), Na (sodium), P (phosphorus), and</w:t>
            </w:r>
          </w:p>
          <w:p w14:paraId="0A95BB54"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F (fluorine), among others. We also detected a mineral layer that had formed on the treated enamel </w:t>
            </w:r>
            <w:proofErr w:type="gramStart"/>
            <w:r w:rsidRPr="007975C4">
              <w:rPr>
                <w:rFonts w:ascii="Palatino Linotype" w:hAnsi="Palatino Linotype"/>
                <w:color w:val="000000"/>
              </w:rPr>
              <w:t>surface;</w:t>
            </w:r>
            <w:proofErr w:type="gramEnd"/>
            <w:r w:rsidRPr="007975C4">
              <w:rPr>
                <w:rFonts w:ascii="Palatino Linotype" w:hAnsi="Palatino Linotype"/>
                <w:color w:val="000000"/>
              </w:rPr>
              <w:t xml:space="preserve"> the layer</w:t>
            </w:r>
          </w:p>
          <w:p w14:paraId="2D404714"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had a consistent uniform thickness of ~14 </w:t>
            </w:r>
            <w:proofErr w:type="spellStart"/>
            <w:r w:rsidRPr="007975C4">
              <w:rPr>
                <w:rFonts w:ascii="Palatino Linotype" w:hAnsi="Palatino Linotype"/>
                <w:color w:val="000000"/>
              </w:rPr>
              <w:t>μm</w:t>
            </w:r>
            <w:proofErr w:type="spellEnd"/>
            <w:r w:rsidRPr="007975C4">
              <w:rPr>
                <w:rFonts w:ascii="Palatino Linotype" w:hAnsi="Palatino Linotype"/>
                <w:color w:val="000000"/>
              </w:rPr>
              <w:t>.</w:t>
            </w:r>
          </w:p>
        </w:tc>
      </w:tr>
      <w:tr w:rsidR="007975C4" w:rsidRPr="007975C4" w14:paraId="15E303B9" w14:textId="77777777" w:rsidTr="007975C4">
        <w:trPr>
          <w:cantSplit/>
          <w:trHeight w:val="8112"/>
          <w:tblHeader/>
        </w:trPr>
        <w:tc>
          <w:tcPr>
            <w:tcW w:w="1515" w:type="dxa"/>
            <w:tcBorders>
              <w:left w:val="nil"/>
              <w:right w:val="nil"/>
            </w:tcBorders>
          </w:tcPr>
          <w:p w14:paraId="3E8C95C0"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lastRenderedPageBreak/>
              <w:t xml:space="preserve">Fernandes </w:t>
            </w:r>
            <w:r w:rsidRPr="007975C4">
              <w:rPr>
                <w:rFonts w:ascii="Palatino Linotype" w:hAnsi="Palatino Linotype"/>
              </w:rPr>
              <w:t>et al</w:t>
            </w:r>
            <w:r w:rsidRPr="007975C4">
              <w:rPr>
                <w:rFonts w:ascii="Palatino Linotype" w:hAnsi="Palatino Linotype"/>
                <w:color w:val="000000"/>
              </w:rPr>
              <w:t>.</w:t>
            </w:r>
          </w:p>
          <w:p w14:paraId="3259AEAF"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(2022)</w:t>
            </w:r>
          </w:p>
        </w:tc>
        <w:tc>
          <w:tcPr>
            <w:tcW w:w="1590" w:type="dxa"/>
            <w:tcBorders>
              <w:left w:val="nil"/>
              <w:right w:val="nil"/>
            </w:tcBorders>
          </w:tcPr>
          <w:p w14:paraId="358F3170"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roofErr w:type="spellStart"/>
            <w:r w:rsidRPr="007975C4">
              <w:rPr>
                <w:rFonts w:ascii="Palatino Linotype" w:hAnsi="Palatino Linotype"/>
                <w:color w:val="000000"/>
              </w:rPr>
              <w:t>Efectiveness</w:t>
            </w:r>
            <w:proofErr w:type="spellEnd"/>
            <w:r w:rsidRPr="007975C4">
              <w:rPr>
                <w:rFonts w:ascii="Palatino Linotype" w:hAnsi="Palatino Linotype"/>
                <w:color w:val="000000"/>
              </w:rPr>
              <w:t xml:space="preserve"> of </w:t>
            </w:r>
            <w:proofErr w:type="spellStart"/>
            <w:r w:rsidRPr="007975C4">
              <w:rPr>
                <w:rFonts w:ascii="Palatino Linotype" w:hAnsi="Palatino Linotype"/>
                <w:color w:val="000000"/>
              </w:rPr>
              <w:t>fuoride</w:t>
            </w:r>
            <w:proofErr w:type="spellEnd"/>
            <w:r w:rsidRPr="007975C4">
              <w:rPr>
                <w:rFonts w:ascii="Palatino Linotype" w:hAnsi="Palatino Linotype"/>
                <w:color w:val="000000"/>
              </w:rPr>
              <w:t>-containing</w:t>
            </w:r>
          </w:p>
          <w:p w14:paraId="51686290"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toothpastes associated with </w:t>
            </w:r>
            <w:proofErr w:type="spellStart"/>
            <w:r w:rsidRPr="007975C4">
              <w:rPr>
                <w:rFonts w:ascii="Palatino Linotype" w:hAnsi="Palatino Linotype"/>
                <w:color w:val="000000"/>
              </w:rPr>
              <w:t>diferent</w:t>
            </w:r>
            <w:proofErr w:type="spellEnd"/>
          </w:p>
          <w:p w14:paraId="2C9A1617"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technologies to remineralize enamel after pH</w:t>
            </w:r>
          </w:p>
          <w:p w14:paraId="2E4E39C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cycling: an in vitro study</w:t>
            </w:r>
          </w:p>
        </w:tc>
        <w:tc>
          <w:tcPr>
            <w:tcW w:w="2010" w:type="dxa"/>
            <w:gridSpan w:val="2"/>
            <w:tcBorders>
              <w:left w:val="nil"/>
              <w:right w:val="nil"/>
            </w:tcBorders>
          </w:tcPr>
          <w:p w14:paraId="7D252213"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To evaluate the </w:t>
            </w:r>
            <w:proofErr w:type="spellStart"/>
            <w:r w:rsidRPr="007975C4">
              <w:rPr>
                <w:rFonts w:ascii="Palatino Linotype" w:hAnsi="Palatino Linotype"/>
                <w:color w:val="000000"/>
              </w:rPr>
              <w:t>efcacy</w:t>
            </w:r>
            <w:proofErr w:type="spellEnd"/>
            <w:r w:rsidRPr="007975C4">
              <w:rPr>
                <w:rFonts w:ascii="Palatino Linotype" w:hAnsi="Palatino Linotype"/>
                <w:color w:val="000000"/>
              </w:rPr>
              <w:t xml:space="preserve"> of </w:t>
            </w:r>
            <w:proofErr w:type="spellStart"/>
            <w:r w:rsidRPr="007975C4">
              <w:rPr>
                <w:rFonts w:ascii="Palatino Linotype" w:hAnsi="Palatino Linotype"/>
                <w:color w:val="000000"/>
              </w:rPr>
              <w:t>fuoride</w:t>
            </w:r>
            <w:proofErr w:type="spellEnd"/>
            <w:r w:rsidRPr="007975C4">
              <w:rPr>
                <w:rFonts w:ascii="Palatino Linotype" w:hAnsi="Palatino Linotype"/>
                <w:color w:val="000000"/>
              </w:rPr>
              <w:t xml:space="preserve">-containing toothpastes with </w:t>
            </w:r>
            <w:proofErr w:type="spellStart"/>
            <w:r w:rsidRPr="007975C4">
              <w:rPr>
                <w:rFonts w:ascii="Palatino Linotype" w:hAnsi="Palatino Linotype"/>
                <w:color w:val="000000"/>
              </w:rPr>
              <w:t>diferent</w:t>
            </w:r>
            <w:proofErr w:type="spellEnd"/>
            <w:r w:rsidRPr="007975C4">
              <w:rPr>
                <w:rFonts w:ascii="Palatino Linotype" w:hAnsi="Palatino Linotype"/>
                <w:color w:val="000000"/>
              </w:rPr>
              <w:t xml:space="preserve"> technologies to remineralize</w:t>
            </w:r>
          </w:p>
          <w:p w14:paraId="1499222D"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roofErr w:type="spellStart"/>
            <w:r w:rsidRPr="007975C4">
              <w:rPr>
                <w:rFonts w:ascii="Palatino Linotype" w:hAnsi="Palatino Linotype"/>
                <w:color w:val="000000"/>
              </w:rPr>
              <w:t>artifcial</w:t>
            </w:r>
            <w:proofErr w:type="spellEnd"/>
            <w:r w:rsidRPr="007975C4">
              <w:rPr>
                <w:rFonts w:ascii="Palatino Linotype" w:hAnsi="Palatino Linotype"/>
                <w:color w:val="000000"/>
              </w:rPr>
              <w:t xml:space="preserve"> caries lesions in enamel.</w:t>
            </w:r>
          </w:p>
          <w:p w14:paraId="51C0C1C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tc>
        <w:tc>
          <w:tcPr>
            <w:tcW w:w="1920" w:type="dxa"/>
            <w:tcBorders>
              <w:left w:val="nil"/>
              <w:right w:val="nil"/>
            </w:tcBorders>
          </w:tcPr>
          <w:p w14:paraId="6AD700A7"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Surface microhardness recovery (%SMHR) and the </w:t>
            </w:r>
            <w:proofErr w:type="spellStart"/>
            <w:r w:rsidRPr="007975C4">
              <w:rPr>
                <w:rFonts w:ascii="Palatino Linotype" w:hAnsi="Palatino Linotype"/>
                <w:color w:val="000000"/>
              </w:rPr>
              <w:t>fuorescence</w:t>
            </w:r>
            <w:proofErr w:type="spellEnd"/>
            <w:r w:rsidRPr="007975C4">
              <w:rPr>
                <w:rFonts w:ascii="Palatino Linotype" w:hAnsi="Palatino Linotype"/>
                <w:color w:val="000000"/>
              </w:rPr>
              <w:t xml:space="preserve"> recovery (ΔFRE) with quantitative light-induced </w:t>
            </w:r>
            <w:proofErr w:type="spellStart"/>
            <w:r w:rsidRPr="007975C4">
              <w:rPr>
                <w:rFonts w:ascii="Palatino Linotype" w:hAnsi="Palatino Linotype"/>
                <w:color w:val="000000"/>
              </w:rPr>
              <w:t>fuores</w:t>
            </w:r>
            <w:proofErr w:type="spellEnd"/>
            <w:r w:rsidRPr="007975C4">
              <w:rPr>
                <w:rFonts w:ascii="Palatino Linotype" w:hAnsi="Palatino Linotype"/>
                <w:color w:val="000000"/>
              </w:rPr>
              <w:t>-</w:t>
            </w:r>
          </w:p>
          <w:p w14:paraId="5540EF31"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roofErr w:type="spellStart"/>
            <w:r w:rsidRPr="007975C4">
              <w:rPr>
                <w:rFonts w:ascii="Palatino Linotype" w:hAnsi="Palatino Linotype"/>
                <w:color w:val="000000"/>
              </w:rPr>
              <w:t>cence</w:t>
            </w:r>
            <w:proofErr w:type="spellEnd"/>
            <w:r w:rsidRPr="007975C4">
              <w:rPr>
                <w:rFonts w:ascii="Palatino Linotype" w:hAnsi="Palatino Linotype"/>
                <w:color w:val="000000"/>
              </w:rPr>
              <w:t>. The cross-sectional micromorphology of the enamel surface was also assessed using scanning electron micros-</w:t>
            </w:r>
          </w:p>
          <w:p w14:paraId="372513A0"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copy. Elemental analyses (weight%) were determined with an energy-dispersive X-ray spectrometer (EDS).</w:t>
            </w:r>
          </w:p>
          <w:p w14:paraId="246EBF63"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tc>
        <w:tc>
          <w:tcPr>
            <w:tcW w:w="1620" w:type="dxa"/>
            <w:tcBorders>
              <w:left w:val="nil"/>
              <w:right w:val="nil"/>
            </w:tcBorders>
          </w:tcPr>
          <w:p w14:paraId="47B0FFC6"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Bovine enamel blocks </w:t>
            </w:r>
            <w:r w:rsidRPr="007975C4">
              <w:rPr>
                <w:rFonts w:ascii="Palatino Linotype" w:hAnsi="Palatino Linotype"/>
                <w:color w:val="000000"/>
              </w:rPr>
              <w:br/>
              <w:t>(n=12/ per group)</w:t>
            </w:r>
          </w:p>
          <w:p w14:paraId="6C511B5B"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p w14:paraId="7E93566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6 days of pH cycling</w:t>
            </w:r>
          </w:p>
        </w:tc>
        <w:tc>
          <w:tcPr>
            <w:tcW w:w="1695" w:type="dxa"/>
            <w:tcBorders>
              <w:left w:val="nil"/>
              <w:right w:val="nil"/>
            </w:tcBorders>
          </w:tcPr>
          <w:p w14:paraId="7565F631"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REFIX, NR-5,</w:t>
            </w:r>
          </w:p>
          <w:p w14:paraId="63A2BB1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and NOVAMIN. </w:t>
            </w:r>
          </w:p>
          <w:p w14:paraId="74F08D50"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tc>
        <w:tc>
          <w:tcPr>
            <w:tcW w:w="2070" w:type="dxa"/>
            <w:tcBorders>
              <w:left w:val="nil"/>
              <w:right w:val="nil"/>
            </w:tcBorders>
          </w:tcPr>
          <w:p w14:paraId="4B6A311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Fluoride sodium, triclosan, arginine, tetrasodium pyrophosphate</w:t>
            </w:r>
          </w:p>
          <w:p w14:paraId="43EA4973"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p w14:paraId="0E10918E"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Sodium</w:t>
            </w:r>
          </w:p>
          <w:p w14:paraId="2CACA0B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roofErr w:type="spellStart"/>
            <w:r w:rsidRPr="007975C4">
              <w:rPr>
                <w:rFonts w:ascii="Palatino Linotype" w:hAnsi="Palatino Linotype"/>
                <w:color w:val="000000"/>
              </w:rPr>
              <w:t>monofuorophosphate</w:t>
            </w:r>
            <w:proofErr w:type="spellEnd"/>
            <w:r w:rsidRPr="007975C4">
              <w:rPr>
                <w:rFonts w:ascii="Palatino Linotype" w:hAnsi="Palatino Linotype"/>
                <w:color w:val="000000"/>
              </w:rPr>
              <w:t>, calcium silicate and</w:t>
            </w:r>
          </w:p>
          <w:p w14:paraId="759E8C2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sodium phosphate </w:t>
            </w:r>
          </w:p>
          <w:p w14:paraId="5E73C826"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p w14:paraId="1AD2501E"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Calcium</w:t>
            </w:r>
          </w:p>
          <w:p w14:paraId="1158617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sodium </w:t>
            </w:r>
            <w:proofErr w:type="spellStart"/>
            <w:r w:rsidRPr="007975C4">
              <w:rPr>
                <w:rFonts w:ascii="Palatino Linotype" w:hAnsi="Palatino Linotype"/>
                <w:color w:val="000000"/>
              </w:rPr>
              <w:t>phosphosilicate</w:t>
            </w:r>
            <w:proofErr w:type="spellEnd"/>
            <w:r w:rsidRPr="007975C4">
              <w:rPr>
                <w:rFonts w:ascii="Palatino Linotype" w:hAnsi="Palatino Linotype"/>
                <w:color w:val="000000"/>
              </w:rPr>
              <w:t xml:space="preserve"> 5%</w:t>
            </w:r>
          </w:p>
          <w:p w14:paraId="06A018E1"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tc>
        <w:tc>
          <w:tcPr>
            <w:tcW w:w="2505" w:type="dxa"/>
            <w:tcBorders>
              <w:left w:val="nil"/>
              <w:right w:val="nil"/>
            </w:tcBorders>
          </w:tcPr>
          <w:p w14:paraId="46E732E0"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 xml:space="preserve">The Refix to recover the surface microhardness with a </w:t>
            </w:r>
            <w:proofErr w:type="spellStart"/>
            <w:r w:rsidRPr="007975C4">
              <w:rPr>
                <w:rFonts w:ascii="Palatino Linotype" w:hAnsi="Palatino Linotype"/>
                <w:color w:val="000000"/>
              </w:rPr>
              <w:t>signifcantly</w:t>
            </w:r>
            <w:proofErr w:type="spellEnd"/>
            <w:r w:rsidRPr="007975C4">
              <w:rPr>
                <w:rFonts w:ascii="Palatino Linotype" w:hAnsi="Palatino Linotype"/>
                <w:color w:val="000000"/>
              </w:rPr>
              <w:t xml:space="preserve"> lower mean of ΔFRE. </w:t>
            </w:r>
          </w:p>
          <w:p w14:paraId="2E978BA0"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Only Refix was able to</w:t>
            </w:r>
          </w:p>
          <w:p w14:paraId="06D44136"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promote the formation of a mineralized layer on the surface of enamel enriched with silicon on the surface.</w:t>
            </w:r>
          </w:p>
          <w:p w14:paraId="17D65E0E"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tc>
      </w:tr>
      <w:tr w:rsidR="007975C4" w:rsidRPr="007975C4" w14:paraId="12F61E38" w14:textId="77777777" w:rsidTr="007975C4">
        <w:trPr>
          <w:cantSplit/>
          <w:trHeight w:val="6835"/>
          <w:tblHeader/>
        </w:trPr>
        <w:tc>
          <w:tcPr>
            <w:tcW w:w="1515" w:type="dxa"/>
            <w:tcBorders>
              <w:left w:val="nil"/>
              <w:right w:val="nil"/>
            </w:tcBorders>
          </w:tcPr>
          <w:p w14:paraId="4112925E"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rPr>
              <w:lastRenderedPageBreak/>
              <w:t>Moras et al. (2023)</w:t>
            </w:r>
          </w:p>
        </w:tc>
        <w:tc>
          <w:tcPr>
            <w:tcW w:w="1590" w:type="dxa"/>
            <w:tcBorders>
              <w:left w:val="nil"/>
              <w:right w:val="nil"/>
            </w:tcBorders>
          </w:tcPr>
          <w:p w14:paraId="008608E7"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rPr>
              <w:t>Regenerative Biomineralization Potential of Commercially Available Remineralizing Agents as a Preventive Treatment Approach for Tooth Erosion – An In Vitro Laser-Induced Breakdown Spectroscopy Analysis</w:t>
            </w:r>
          </w:p>
        </w:tc>
        <w:tc>
          <w:tcPr>
            <w:tcW w:w="2010" w:type="dxa"/>
            <w:gridSpan w:val="2"/>
            <w:tcBorders>
              <w:left w:val="nil"/>
              <w:right w:val="nil"/>
            </w:tcBorders>
          </w:tcPr>
          <w:p w14:paraId="5614EDC3" w14:textId="77777777" w:rsidR="00CA66A4" w:rsidRPr="007975C4" w:rsidRDefault="00CA66A4" w:rsidP="00F07F0C">
            <w:pPr>
              <w:widowControl w:val="0"/>
              <w:spacing w:line="240" w:lineRule="auto"/>
              <w:jc w:val="both"/>
              <w:rPr>
                <w:rFonts w:ascii="Palatino Linotype" w:hAnsi="Palatino Linotype"/>
              </w:rPr>
            </w:pPr>
          </w:p>
          <w:tbl>
            <w:tblPr>
              <w:tblW w:w="1485" w:type="dxa"/>
              <w:tblBorders>
                <w:top w:val="nil"/>
                <w:left w:val="nil"/>
                <w:bottom w:val="nil"/>
                <w:right w:val="nil"/>
                <w:insideH w:val="nil"/>
                <w:insideV w:val="nil"/>
              </w:tblBorders>
              <w:tblLayout w:type="fixed"/>
              <w:tblLook w:val="0600" w:firstRow="0" w:lastRow="0" w:firstColumn="0" w:lastColumn="0" w:noHBand="1" w:noVBand="1"/>
            </w:tblPr>
            <w:tblGrid>
              <w:gridCol w:w="1485"/>
            </w:tblGrid>
            <w:tr w:rsidR="00CA66A4" w:rsidRPr="007975C4" w14:paraId="142AD7DE" w14:textId="77777777" w:rsidTr="00F07F0C">
              <w:trPr>
                <w:trHeight w:val="1085"/>
              </w:trPr>
              <w:tc>
                <w:tcPr>
                  <w:tcW w:w="1753" w:type="dxa"/>
                  <w:tcBorders>
                    <w:top w:val="nil"/>
                    <w:left w:val="nil"/>
                    <w:bottom w:val="nil"/>
                    <w:right w:val="nil"/>
                  </w:tcBorders>
                  <w:tcMar>
                    <w:top w:w="100" w:type="dxa"/>
                    <w:left w:w="100" w:type="dxa"/>
                    <w:bottom w:w="100" w:type="dxa"/>
                    <w:right w:w="100" w:type="dxa"/>
                  </w:tcMar>
                </w:tcPr>
                <w:p w14:paraId="7BF22964" w14:textId="77777777" w:rsidR="00CA66A4" w:rsidRPr="007975C4" w:rsidRDefault="00CA66A4" w:rsidP="007975C4">
                  <w:pPr>
                    <w:framePr w:hSpace="180" w:vSpace="180" w:wrap="around" w:vAnchor="text" w:hAnchor="text" w:x="-739"/>
                    <w:widowControl w:val="0"/>
                    <w:spacing w:line="240" w:lineRule="auto"/>
                    <w:jc w:val="both"/>
                    <w:rPr>
                      <w:rFonts w:ascii="Palatino Linotype" w:hAnsi="Palatino Linotype"/>
                    </w:rPr>
                  </w:pPr>
                  <w:r w:rsidRPr="007975C4">
                    <w:rPr>
                      <w:rFonts w:ascii="Palatino Linotype" w:hAnsi="Palatino Linotype"/>
                    </w:rPr>
                    <w:t>To evaluate and compare the surface remineralization potential of SAP P11-4 (self-assembling peptide) and CSSP (calcium silicate plus sodium phosphate) on intact and demineralized enamel</w:t>
                  </w:r>
                </w:p>
              </w:tc>
            </w:tr>
          </w:tbl>
          <w:p w14:paraId="4AA820E9" w14:textId="77777777" w:rsidR="00CA66A4" w:rsidRPr="007975C4" w:rsidRDefault="00CA66A4" w:rsidP="00F07F0C">
            <w:pPr>
              <w:widowControl w:val="0"/>
              <w:spacing w:line="240" w:lineRule="auto"/>
              <w:jc w:val="both"/>
              <w:rPr>
                <w:rFonts w:ascii="Palatino Linotype" w:hAnsi="Palatino Linotype"/>
              </w:rPr>
            </w:pPr>
          </w:p>
          <w:tbl>
            <w:tblPr>
              <w:tblW w:w="230" w:type="dxa"/>
              <w:tblBorders>
                <w:top w:val="nil"/>
                <w:left w:val="nil"/>
                <w:bottom w:val="nil"/>
                <w:right w:val="nil"/>
                <w:insideH w:val="nil"/>
                <w:insideV w:val="nil"/>
              </w:tblBorders>
              <w:tblLayout w:type="fixed"/>
              <w:tblLook w:val="0600" w:firstRow="0" w:lastRow="0" w:firstColumn="0" w:lastColumn="0" w:noHBand="1" w:noVBand="1"/>
            </w:tblPr>
            <w:tblGrid>
              <w:gridCol w:w="230"/>
            </w:tblGrid>
            <w:tr w:rsidR="00CA66A4" w:rsidRPr="007975C4" w14:paraId="31664CE2" w14:textId="77777777" w:rsidTr="00F07F0C">
              <w:trPr>
                <w:trHeight w:val="230"/>
              </w:trPr>
              <w:tc>
                <w:tcPr>
                  <w:tcW w:w="230" w:type="dxa"/>
                  <w:tcBorders>
                    <w:top w:val="nil"/>
                    <w:left w:val="nil"/>
                    <w:bottom w:val="nil"/>
                    <w:right w:val="nil"/>
                  </w:tcBorders>
                  <w:tcMar>
                    <w:top w:w="100" w:type="dxa"/>
                    <w:left w:w="100" w:type="dxa"/>
                    <w:bottom w:w="100" w:type="dxa"/>
                    <w:right w:w="100" w:type="dxa"/>
                  </w:tcMar>
                </w:tcPr>
                <w:p w14:paraId="2F036C81" w14:textId="77777777" w:rsidR="00CA66A4" w:rsidRPr="007975C4" w:rsidRDefault="00CA66A4" w:rsidP="007975C4">
                  <w:pPr>
                    <w:framePr w:hSpace="180" w:vSpace="180" w:wrap="around" w:vAnchor="text" w:hAnchor="text" w:x="-739"/>
                    <w:widowControl w:val="0"/>
                    <w:spacing w:line="240" w:lineRule="auto"/>
                    <w:jc w:val="both"/>
                    <w:rPr>
                      <w:rFonts w:ascii="Palatino Linotype" w:hAnsi="Palatino Linotype"/>
                    </w:rPr>
                  </w:pPr>
                </w:p>
              </w:tc>
            </w:tr>
          </w:tbl>
          <w:p w14:paraId="3CA0408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tc>
        <w:tc>
          <w:tcPr>
            <w:tcW w:w="1920" w:type="dxa"/>
            <w:tcBorders>
              <w:left w:val="nil"/>
              <w:right w:val="nil"/>
            </w:tcBorders>
          </w:tcPr>
          <w:p w14:paraId="6AD897B7" w14:textId="77777777" w:rsidR="00CA66A4" w:rsidRPr="007975C4" w:rsidRDefault="00CA66A4" w:rsidP="00F07F0C">
            <w:pPr>
              <w:widowControl w:val="0"/>
              <w:spacing w:line="240" w:lineRule="auto"/>
              <w:jc w:val="both"/>
              <w:rPr>
                <w:rFonts w:ascii="Palatino Linotype" w:hAnsi="Palatino Linotype"/>
              </w:rPr>
            </w:pPr>
          </w:p>
          <w:tbl>
            <w:tblPr>
              <w:tblW w:w="1710" w:type="dxa"/>
              <w:tblBorders>
                <w:top w:val="nil"/>
                <w:left w:val="nil"/>
                <w:bottom w:val="nil"/>
                <w:right w:val="nil"/>
                <w:insideH w:val="nil"/>
                <w:insideV w:val="nil"/>
              </w:tblBorders>
              <w:tblLayout w:type="fixed"/>
              <w:tblLook w:val="0600" w:firstRow="0" w:lastRow="0" w:firstColumn="0" w:lastColumn="0" w:noHBand="1" w:noVBand="1"/>
            </w:tblPr>
            <w:tblGrid>
              <w:gridCol w:w="1710"/>
            </w:tblGrid>
            <w:tr w:rsidR="00CA66A4" w:rsidRPr="007975C4" w14:paraId="6C5102F0" w14:textId="77777777" w:rsidTr="00F07F0C">
              <w:trPr>
                <w:trHeight w:val="515"/>
              </w:trPr>
              <w:tc>
                <w:tcPr>
                  <w:tcW w:w="1710" w:type="dxa"/>
                  <w:tcBorders>
                    <w:top w:val="nil"/>
                    <w:left w:val="nil"/>
                    <w:bottom w:val="nil"/>
                    <w:right w:val="nil"/>
                  </w:tcBorders>
                  <w:tcMar>
                    <w:top w:w="100" w:type="dxa"/>
                    <w:left w:w="100" w:type="dxa"/>
                    <w:bottom w:w="100" w:type="dxa"/>
                    <w:right w:w="100" w:type="dxa"/>
                  </w:tcMar>
                </w:tcPr>
                <w:p w14:paraId="1241406B" w14:textId="77777777" w:rsidR="00CA66A4" w:rsidRPr="007975C4" w:rsidRDefault="00CA66A4" w:rsidP="007975C4">
                  <w:pPr>
                    <w:framePr w:hSpace="180" w:vSpace="180" w:wrap="around" w:vAnchor="text" w:hAnchor="text" w:x="-739"/>
                    <w:widowControl w:val="0"/>
                    <w:spacing w:line="240" w:lineRule="auto"/>
                    <w:jc w:val="both"/>
                    <w:rPr>
                      <w:rFonts w:ascii="Palatino Linotype" w:hAnsi="Palatino Linotype"/>
                    </w:rPr>
                  </w:pPr>
                  <w:r w:rsidRPr="007975C4">
                    <w:rPr>
                      <w:rFonts w:ascii="Palatino Linotype" w:hAnsi="Palatino Linotype"/>
                    </w:rPr>
                    <w:t>Laser-induced breakdown spectroscopy (LIBS) to measure changes in Ca and P levels</w:t>
                  </w:r>
                </w:p>
              </w:tc>
            </w:tr>
          </w:tbl>
          <w:p w14:paraId="7AEAA89F" w14:textId="77777777" w:rsidR="00CA66A4" w:rsidRPr="007975C4" w:rsidRDefault="00CA66A4" w:rsidP="00F07F0C">
            <w:pPr>
              <w:widowControl w:val="0"/>
              <w:spacing w:line="240" w:lineRule="auto"/>
              <w:jc w:val="both"/>
              <w:rPr>
                <w:rFonts w:ascii="Palatino Linotype" w:hAnsi="Palatino Linotype"/>
              </w:rPr>
            </w:pPr>
          </w:p>
          <w:tbl>
            <w:tblPr>
              <w:tblW w:w="230" w:type="dxa"/>
              <w:tblBorders>
                <w:top w:val="nil"/>
                <w:left w:val="nil"/>
                <w:bottom w:val="nil"/>
                <w:right w:val="nil"/>
                <w:insideH w:val="nil"/>
                <w:insideV w:val="nil"/>
              </w:tblBorders>
              <w:tblLayout w:type="fixed"/>
              <w:tblLook w:val="0600" w:firstRow="0" w:lastRow="0" w:firstColumn="0" w:lastColumn="0" w:noHBand="1" w:noVBand="1"/>
            </w:tblPr>
            <w:tblGrid>
              <w:gridCol w:w="230"/>
            </w:tblGrid>
            <w:tr w:rsidR="00CA66A4" w:rsidRPr="007975C4" w14:paraId="04840301" w14:textId="77777777" w:rsidTr="00F07F0C">
              <w:trPr>
                <w:trHeight w:val="230"/>
              </w:trPr>
              <w:tc>
                <w:tcPr>
                  <w:tcW w:w="230" w:type="dxa"/>
                  <w:tcBorders>
                    <w:top w:val="nil"/>
                    <w:left w:val="nil"/>
                    <w:bottom w:val="nil"/>
                    <w:right w:val="nil"/>
                  </w:tcBorders>
                  <w:tcMar>
                    <w:top w:w="100" w:type="dxa"/>
                    <w:left w:w="100" w:type="dxa"/>
                    <w:bottom w:w="100" w:type="dxa"/>
                    <w:right w:w="100" w:type="dxa"/>
                  </w:tcMar>
                </w:tcPr>
                <w:p w14:paraId="1753CA49" w14:textId="77777777" w:rsidR="00CA66A4" w:rsidRPr="007975C4" w:rsidRDefault="00CA66A4" w:rsidP="007975C4">
                  <w:pPr>
                    <w:framePr w:hSpace="180" w:vSpace="180" w:wrap="around" w:vAnchor="text" w:hAnchor="text" w:x="-739"/>
                    <w:widowControl w:val="0"/>
                    <w:spacing w:line="240" w:lineRule="auto"/>
                    <w:jc w:val="both"/>
                    <w:rPr>
                      <w:rFonts w:ascii="Palatino Linotype" w:hAnsi="Palatino Linotype"/>
                    </w:rPr>
                  </w:pPr>
                </w:p>
              </w:tc>
            </w:tr>
          </w:tbl>
          <w:p w14:paraId="5773DE7B"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tc>
        <w:tc>
          <w:tcPr>
            <w:tcW w:w="1620" w:type="dxa"/>
            <w:tcBorders>
              <w:left w:val="nil"/>
              <w:right w:val="nil"/>
            </w:tcBorders>
          </w:tcPr>
          <w:p w14:paraId="132AF977" w14:textId="77777777" w:rsidR="00CA66A4" w:rsidRPr="007975C4" w:rsidRDefault="00CA66A4" w:rsidP="00F07F0C">
            <w:pPr>
              <w:widowControl w:val="0"/>
              <w:spacing w:line="240" w:lineRule="auto"/>
              <w:jc w:val="both"/>
              <w:rPr>
                <w:rFonts w:ascii="Palatino Linotype" w:hAnsi="Palatino Linotype"/>
              </w:rPr>
            </w:pPr>
          </w:p>
          <w:tbl>
            <w:tblPr>
              <w:tblW w:w="1410" w:type="dxa"/>
              <w:tblBorders>
                <w:top w:val="nil"/>
                <w:left w:val="nil"/>
                <w:bottom w:val="nil"/>
                <w:right w:val="nil"/>
                <w:insideH w:val="nil"/>
                <w:insideV w:val="nil"/>
              </w:tblBorders>
              <w:tblLayout w:type="fixed"/>
              <w:tblLook w:val="0600" w:firstRow="0" w:lastRow="0" w:firstColumn="0" w:lastColumn="0" w:noHBand="1" w:noVBand="1"/>
            </w:tblPr>
            <w:tblGrid>
              <w:gridCol w:w="1410"/>
            </w:tblGrid>
            <w:tr w:rsidR="00CA66A4" w:rsidRPr="007975C4" w14:paraId="77D6A7D6" w14:textId="77777777" w:rsidTr="00F07F0C">
              <w:trPr>
                <w:trHeight w:val="515"/>
              </w:trPr>
              <w:tc>
                <w:tcPr>
                  <w:tcW w:w="1404" w:type="dxa"/>
                  <w:tcBorders>
                    <w:top w:val="nil"/>
                    <w:left w:val="nil"/>
                    <w:bottom w:val="nil"/>
                    <w:right w:val="nil"/>
                  </w:tcBorders>
                  <w:tcMar>
                    <w:top w:w="100" w:type="dxa"/>
                    <w:left w:w="100" w:type="dxa"/>
                    <w:bottom w:w="100" w:type="dxa"/>
                    <w:right w:w="100" w:type="dxa"/>
                  </w:tcMar>
                </w:tcPr>
                <w:p w14:paraId="72B10978" w14:textId="77777777" w:rsidR="00CA66A4" w:rsidRPr="007975C4" w:rsidRDefault="00CA66A4" w:rsidP="007975C4">
                  <w:pPr>
                    <w:framePr w:hSpace="180" w:vSpace="180" w:wrap="around" w:vAnchor="text" w:hAnchor="text" w:x="-739"/>
                    <w:widowControl w:val="0"/>
                    <w:spacing w:line="240" w:lineRule="auto"/>
                    <w:jc w:val="both"/>
                    <w:rPr>
                      <w:rFonts w:ascii="Palatino Linotype" w:hAnsi="Palatino Linotype"/>
                    </w:rPr>
                  </w:pPr>
                  <w:r w:rsidRPr="007975C4">
                    <w:rPr>
                      <w:rFonts w:ascii="Palatino Linotype" w:hAnsi="Palatino Linotype"/>
                    </w:rPr>
                    <w:t>SS:32 human enamel samples (16 intact, 16 demineralized)</w:t>
                  </w:r>
                </w:p>
                <w:p w14:paraId="0CC52620" w14:textId="77777777" w:rsidR="00CA66A4" w:rsidRPr="007975C4" w:rsidRDefault="00CA66A4" w:rsidP="007975C4">
                  <w:pPr>
                    <w:framePr w:hSpace="180" w:vSpace="180" w:wrap="around" w:vAnchor="text" w:hAnchor="text" w:x="-739"/>
                    <w:widowControl w:val="0"/>
                    <w:spacing w:line="240" w:lineRule="auto"/>
                    <w:jc w:val="both"/>
                    <w:rPr>
                      <w:rFonts w:ascii="Palatino Linotype" w:hAnsi="Palatino Linotype"/>
                    </w:rPr>
                  </w:pPr>
                </w:p>
                <w:p w14:paraId="025451E6" w14:textId="77777777" w:rsidR="00CA66A4" w:rsidRPr="007975C4" w:rsidRDefault="00CA66A4" w:rsidP="007975C4">
                  <w:pPr>
                    <w:framePr w:hSpace="180" w:vSpace="180" w:wrap="around" w:vAnchor="text" w:hAnchor="text" w:x="-739"/>
                    <w:widowControl w:val="0"/>
                    <w:spacing w:line="240" w:lineRule="auto"/>
                    <w:jc w:val="both"/>
                    <w:rPr>
                      <w:rFonts w:ascii="Palatino Linotype" w:hAnsi="Palatino Linotype"/>
                    </w:rPr>
                  </w:pPr>
                  <w:r w:rsidRPr="007975C4">
                    <w:rPr>
                      <w:rFonts w:ascii="Palatino Linotype" w:hAnsi="Palatino Linotype"/>
                    </w:rPr>
                    <w:t xml:space="preserve">30 days pH cycling </w:t>
                  </w:r>
                </w:p>
              </w:tc>
            </w:tr>
          </w:tbl>
          <w:p w14:paraId="00F1C14C" w14:textId="77777777" w:rsidR="00CA66A4" w:rsidRPr="007975C4" w:rsidRDefault="00CA66A4" w:rsidP="00F07F0C">
            <w:pPr>
              <w:widowControl w:val="0"/>
              <w:spacing w:line="240" w:lineRule="auto"/>
              <w:jc w:val="both"/>
              <w:rPr>
                <w:rFonts w:ascii="Palatino Linotype" w:hAnsi="Palatino Linotype"/>
              </w:rPr>
            </w:pPr>
          </w:p>
          <w:tbl>
            <w:tblPr>
              <w:tblW w:w="230" w:type="dxa"/>
              <w:tblBorders>
                <w:top w:val="nil"/>
                <w:left w:val="nil"/>
                <w:bottom w:val="nil"/>
                <w:right w:val="nil"/>
                <w:insideH w:val="nil"/>
                <w:insideV w:val="nil"/>
              </w:tblBorders>
              <w:tblLayout w:type="fixed"/>
              <w:tblLook w:val="0600" w:firstRow="0" w:lastRow="0" w:firstColumn="0" w:lastColumn="0" w:noHBand="1" w:noVBand="1"/>
            </w:tblPr>
            <w:tblGrid>
              <w:gridCol w:w="230"/>
            </w:tblGrid>
            <w:tr w:rsidR="00CA66A4" w:rsidRPr="007975C4" w14:paraId="3E1506D7" w14:textId="77777777" w:rsidTr="00F07F0C">
              <w:trPr>
                <w:trHeight w:val="230"/>
              </w:trPr>
              <w:tc>
                <w:tcPr>
                  <w:tcW w:w="230" w:type="dxa"/>
                  <w:tcBorders>
                    <w:top w:val="nil"/>
                    <w:left w:val="nil"/>
                    <w:bottom w:val="nil"/>
                    <w:right w:val="nil"/>
                  </w:tcBorders>
                  <w:tcMar>
                    <w:top w:w="100" w:type="dxa"/>
                    <w:left w:w="100" w:type="dxa"/>
                    <w:bottom w:w="100" w:type="dxa"/>
                    <w:right w:w="100" w:type="dxa"/>
                  </w:tcMar>
                </w:tcPr>
                <w:p w14:paraId="55913116" w14:textId="77777777" w:rsidR="00CA66A4" w:rsidRPr="007975C4" w:rsidRDefault="00CA66A4" w:rsidP="007975C4">
                  <w:pPr>
                    <w:framePr w:hSpace="180" w:vSpace="180" w:wrap="around" w:vAnchor="text" w:hAnchor="text" w:x="-739"/>
                    <w:widowControl w:val="0"/>
                    <w:spacing w:line="240" w:lineRule="auto"/>
                    <w:jc w:val="both"/>
                    <w:rPr>
                      <w:rFonts w:ascii="Palatino Linotype" w:hAnsi="Palatino Linotype"/>
                    </w:rPr>
                  </w:pPr>
                </w:p>
              </w:tc>
            </w:tr>
          </w:tbl>
          <w:p w14:paraId="47B42FFC"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tc>
        <w:tc>
          <w:tcPr>
            <w:tcW w:w="1695" w:type="dxa"/>
            <w:tcBorders>
              <w:left w:val="nil"/>
              <w:right w:val="nil"/>
            </w:tcBorders>
          </w:tcPr>
          <w:p w14:paraId="66A1B421" w14:textId="77777777" w:rsidR="00CA66A4" w:rsidRPr="007975C4" w:rsidRDefault="00CA66A4" w:rsidP="00F07F0C">
            <w:pPr>
              <w:widowControl w:val="0"/>
              <w:spacing w:line="240" w:lineRule="auto"/>
              <w:jc w:val="both"/>
              <w:rPr>
                <w:rFonts w:ascii="Palatino Linotype" w:hAnsi="Palatino Linotype"/>
              </w:rPr>
            </w:pPr>
          </w:p>
          <w:tbl>
            <w:tblPr>
              <w:tblW w:w="1485" w:type="dxa"/>
              <w:tblBorders>
                <w:top w:val="nil"/>
                <w:left w:val="nil"/>
                <w:bottom w:val="nil"/>
                <w:right w:val="nil"/>
                <w:insideH w:val="nil"/>
                <w:insideV w:val="nil"/>
              </w:tblBorders>
              <w:tblLayout w:type="fixed"/>
              <w:tblLook w:val="0600" w:firstRow="0" w:lastRow="0" w:firstColumn="0" w:lastColumn="0" w:noHBand="1" w:noVBand="1"/>
            </w:tblPr>
            <w:tblGrid>
              <w:gridCol w:w="1485"/>
            </w:tblGrid>
            <w:tr w:rsidR="00CA66A4" w:rsidRPr="007975C4" w14:paraId="5C9ED023" w14:textId="77777777" w:rsidTr="00F07F0C">
              <w:trPr>
                <w:trHeight w:val="800"/>
              </w:trPr>
              <w:tc>
                <w:tcPr>
                  <w:tcW w:w="1479" w:type="dxa"/>
                  <w:tcBorders>
                    <w:top w:val="nil"/>
                    <w:left w:val="nil"/>
                    <w:bottom w:val="nil"/>
                    <w:right w:val="nil"/>
                  </w:tcBorders>
                  <w:tcMar>
                    <w:top w:w="100" w:type="dxa"/>
                    <w:left w:w="100" w:type="dxa"/>
                    <w:bottom w:w="100" w:type="dxa"/>
                    <w:right w:w="100" w:type="dxa"/>
                  </w:tcMar>
                </w:tcPr>
                <w:p w14:paraId="6488512B" w14:textId="77777777" w:rsidR="00CA66A4" w:rsidRPr="007975C4" w:rsidRDefault="00CA66A4" w:rsidP="007975C4">
                  <w:pPr>
                    <w:framePr w:hSpace="180" w:vSpace="180" w:wrap="around" w:vAnchor="text" w:hAnchor="text" w:x="-739"/>
                    <w:widowControl w:val="0"/>
                    <w:spacing w:line="240" w:lineRule="auto"/>
                    <w:jc w:val="both"/>
                    <w:rPr>
                      <w:rFonts w:ascii="Palatino Linotype" w:hAnsi="Palatino Linotype"/>
                    </w:rPr>
                  </w:pPr>
                  <w:r w:rsidRPr="007975C4">
                    <w:rPr>
                      <w:rFonts w:ascii="Palatino Linotype" w:hAnsi="Palatino Linotype"/>
                    </w:rPr>
                    <w:t>SAP P11-4 (CURODONT™ PROTECT), CSSP (REGENERATE™ Enamel Science™ Advanced Toothpaste and Serum)</w:t>
                  </w:r>
                </w:p>
              </w:tc>
            </w:tr>
          </w:tbl>
          <w:p w14:paraId="53A3AFAC" w14:textId="77777777" w:rsidR="00CA66A4" w:rsidRPr="007975C4" w:rsidRDefault="00CA66A4" w:rsidP="00F07F0C">
            <w:pPr>
              <w:widowControl w:val="0"/>
              <w:spacing w:line="240" w:lineRule="auto"/>
              <w:jc w:val="both"/>
              <w:rPr>
                <w:rFonts w:ascii="Palatino Linotype" w:hAnsi="Palatino Linotype"/>
              </w:rPr>
            </w:pPr>
          </w:p>
          <w:tbl>
            <w:tblPr>
              <w:tblW w:w="230" w:type="dxa"/>
              <w:tblBorders>
                <w:top w:val="nil"/>
                <w:left w:val="nil"/>
                <w:bottom w:val="nil"/>
                <w:right w:val="nil"/>
                <w:insideH w:val="nil"/>
                <w:insideV w:val="nil"/>
              </w:tblBorders>
              <w:tblLayout w:type="fixed"/>
              <w:tblLook w:val="0600" w:firstRow="0" w:lastRow="0" w:firstColumn="0" w:lastColumn="0" w:noHBand="1" w:noVBand="1"/>
            </w:tblPr>
            <w:tblGrid>
              <w:gridCol w:w="230"/>
            </w:tblGrid>
            <w:tr w:rsidR="00CA66A4" w:rsidRPr="007975C4" w14:paraId="48D805FB" w14:textId="77777777" w:rsidTr="00F07F0C">
              <w:trPr>
                <w:trHeight w:val="230"/>
              </w:trPr>
              <w:tc>
                <w:tcPr>
                  <w:tcW w:w="230" w:type="dxa"/>
                  <w:tcBorders>
                    <w:top w:val="nil"/>
                    <w:left w:val="nil"/>
                    <w:bottom w:val="nil"/>
                    <w:right w:val="nil"/>
                  </w:tcBorders>
                  <w:tcMar>
                    <w:top w:w="100" w:type="dxa"/>
                    <w:left w:w="100" w:type="dxa"/>
                    <w:bottom w:w="100" w:type="dxa"/>
                    <w:right w:w="100" w:type="dxa"/>
                  </w:tcMar>
                </w:tcPr>
                <w:p w14:paraId="499734F9" w14:textId="77777777" w:rsidR="00CA66A4" w:rsidRPr="007975C4" w:rsidRDefault="00CA66A4" w:rsidP="007975C4">
                  <w:pPr>
                    <w:framePr w:hSpace="180" w:vSpace="180" w:wrap="around" w:vAnchor="text" w:hAnchor="text" w:x="-739"/>
                    <w:widowControl w:val="0"/>
                    <w:spacing w:line="240" w:lineRule="auto"/>
                    <w:jc w:val="both"/>
                    <w:rPr>
                      <w:rFonts w:ascii="Palatino Linotype" w:hAnsi="Palatino Linotype"/>
                    </w:rPr>
                  </w:pPr>
                </w:p>
              </w:tc>
            </w:tr>
          </w:tbl>
          <w:p w14:paraId="226A39A3"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tc>
        <w:tc>
          <w:tcPr>
            <w:tcW w:w="2070" w:type="dxa"/>
            <w:tcBorders>
              <w:left w:val="nil"/>
              <w:right w:val="nil"/>
            </w:tcBorders>
          </w:tcPr>
          <w:p w14:paraId="6031F8AE" w14:textId="77777777" w:rsidR="00CA66A4" w:rsidRPr="007975C4" w:rsidRDefault="00CA66A4" w:rsidP="00F07F0C">
            <w:pPr>
              <w:widowControl w:val="0"/>
              <w:spacing w:line="240" w:lineRule="auto"/>
              <w:jc w:val="both"/>
              <w:rPr>
                <w:rFonts w:ascii="Palatino Linotype" w:hAnsi="Palatino Linotype"/>
              </w:rPr>
            </w:pPr>
          </w:p>
          <w:tbl>
            <w:tblPr>
              <w:tblW w:w="1860" w:type="dxa"/>
              <w:tblBorders>
                <w:top w:val="nil"/>
                <w:left w:val="nil"/>
                <w:bottom w:val="nil"/>
                <w:right w:val="nil"/>
                <w:insideH w:val="nil"/>
                <w:insideV w:val="nil"/>
              </w:tblBorders>
              <w:tblLayout w:type="fixed"/>
              <w:tblLook w:val="0600" w:firstRow="0" w:lastRow="0" w:firstColumn="0" w:lastColumn="0" w:noHBand="1" w:noVBand="1"/>
            </w:tblPr>
            <w:tblGrid>
              <w:gridCol w:w="1860"/>
            </w:tblGrid>
            <w:tr w:rsidR="00CA66A4" w:rsidRPr="007975C4" w14:paraId="363B2CC9" w14:textId="77777777" w:rsidTr="00F07F0C">
              <w:trPr>
                <w:trHeight w:val="515"/>
              </w:trPr>
              <w:tc>
                <w:tcPr>
                  <w:tcW w:w="1860" w:type="dxa"/>
                  <w:tcBorders>
                    <w:top w:val="nil"/>
                    <w:left w:val="nil"/>
                    <w:bottom w:val="nil"/>
                    <w:right w:val="nil"/>
                  </w:tcBorders>
                  <w:tcMar>
                    <w:top w:w="100" w:type="dxa"/>
                    <w:left w:w="100" w:type="dxa"/>
                    <w:bottom w:w="100" w:type="dxa"/>
                    <w:right w:w="100" w:type="dxa"/>
                  </w:tcMar>
                </w:tcPr>
                <w:p w14:paraId="781E1C93" w14:textId="77777777" w:rsidR="00CA66A4" w:rsidRPr="007975C4" w:rsidRDefault="00CA66A4" w:rsidP="007975C4">
                  <w:pPr>
                    <w:framePr w:hSpace="180" w:vSpace="180" w:wrap="around" w:vAnchor="text" w:hAnchor="text" w:x="-739"/>
                    <w:widowControl w:val="0"/>
                    <w:spacing w:line="240" w:lineRule="auto"/>
                    <w:jc w:val="both"/>
                    <w:rPr>
                      <w:rFonts w:ascii="Palatino Linotype" w:hAnsi="Palatino Linotype"/>
                    </w:rPr>
                  </w:pPr>
                  <w:r w:rsidRPr="007975C4">
                    <w:rPr>
                      <w:rFonts w:ascii="Palatino Linotype" w:hAnsi="Palatino Linotype"/>
                    </w:rPr>
                    <w:t>SAP P11-4, calcium silicate, sodium phosphate, fluoride</w:t>
                  </w:r>
                </w:p>
              </w:tc>
            </w:tr>
          </w:tbl>
          <w:p w14:paraId="1731FEC0" w14:textId="77777777" w:rsidR="00CA66A4" w:rsidRPr="007975C4" w:rsidRDefault="00CA66A4" w:rsidP="00F07F0C">
            <w:pPr>
              <w:widowControl w:val="0"/>
              <w:spacing w:line="240" w:lineRule="auto"/>
              <w:jc w:val="both"/>
              <w:rPr>
                <w:rFonts w:ascii="Palatino Linotype" w:hAnsi="Palatino Linotype"/>
              </w:rPr>
            </w:pPr>
          </w:p>
          <w:tbl>
            <w:tblPr>
              <w:tblW w:w="230" w:type="dxa"/>
              <w:tblBorders>
                <w:top w:val="nil"/>
                <w:left w:val="nil"/>
                <w:bottom w:val="nil"/>
                <w:right w:val="nil"/>
                <w:insideH w:val="nil"/>
                <w:insideV w:val="nil"/>
              </w:tblBorders>
              <w:tblLayout w:type="fixed"/>
              <w:tblLook w:val="0600" w:firstRow="0" w:lastRow="0" w:firstColumn="0" w:lastColumn="0" w:noHBand="1" w:noVBand="1"/>
            </w:tblPr>
            <w:tblGrid>
              <w:gridCol w:w="230"/>
            </w:tblGrid>
            <w:tr w:rsidR="00CA66A4" w:rsidRPr="007975C4" w14:paraId="4646D32D" w14:textId="77777777" w:rsidTr="00F07F0C">
              <w:trPr>
                <w:trHeight w:val="230"/>
              </w:trPr>
              <w:tc>
                <w:tcPr>
                  <w:tcW w:w="230" w:type="dxa"/>
                  <w:tcBorders>
                    <w:top w:val="nil"/>
                    <w:left w:val="nil"/>
                    <w:bottom w:val="nil"/>
                    <w:right w:val="nil"/>
                  </w:tcBorders>
                  <w:tcMar>
                    <w:top w:w="100" w:type="dxa"/>
                    <w:left w:w="100" w:type="dxa"/>
                    <w:bottom w:w="100" w:type="dxa"/>
                    <w:right w:w="100" w:type="dxa"/>
                  </w:tcMar>
                </w:tcPr>
                <w:p w14:paraId="7406DC85" w14:textId="77777777" w:rsidR="00CA66A4" w:rsidRPr="007975C4" w:rsidRDefault="00CA66A4" w:rsidP="007975C4">
                  <w:pPr>
                    <w:framePr w:hSpace="180" w:vSpace="180" w:wrap="around" w:vAnchor="text" w:hAnchor="text" w:x="-739"/>
                    <w:widowControl w:val="0"/>
                    <w:spacing w:line="240" w:lineRule="auto"/>
                    <w:jc w:val="both"/>
                    <w:rPr>
                      <w:rFonts w:ascii="Palatino Linotype" w:hAnsi="Palatino Linotype"/>
                    </w:rPr>
                  </w:pPr>
                </w:p>
              </w:tc>
            </w:tr>
          </w:tbl>
          <w:p w14:paraId="26203EBD"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p>
        </w:tc>
        <w:tc>
          <w:tcPr>
            <w:tcW w:w="2505" w:type="dxa"/>
            <w:tcBorders>
              <w:left w:val="nil"/>
              <w:right w:val="nil"/>
            </w:tcBorders>
          </w:tcPr>
          <w:p w14:paraId="3E13A6E3"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rPr>
              <w:t>Both SAP P11-4 and CSSP significantly increased Ca and P levels in demineralized enamel. No significant difference in remineralization potential was observed between the two agents on intact and demineralized enamel.</w:t>
            </w:r>
          </w:p>
        </w:tc>
      </w:tr>
      <w:tr w:rsidR="007975C4" w:rsidRPr="007975C4" w14:paraId="55BA4458" w14:textId="77777777" w:rsidTr="007975C4">
        <w:trPr>
          <w:cantSplit/>
          <w:trHeight w:val="6835"/>
          <w:tblHeader/>
        </w:trPr>
        <w:tc>
          <w:tcPr>
            <w:tcW w:w="1515" w:type="dxa"/>
            <w:tcBorders>
              <w:left w:val="nil"/>
              <w:right w:val="nil"/>
            </w:tcBorders>
          </w:tcPr>
          <w:p w14:paraId="06F21653"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lastRenderedPageBreak/>
              <w:t>Vilhena et al. (2023)</w:t>
            </w:r>
          </w:p>
        </w:tc>
        <w:tc>
          <w:tcPr>
            <w:tcW w:w="1590" w:type="dxa"/>
            <w:tcBorders>
              <w:left w:val="nil"/>
              <w:right w:val="nil"/>
            </w:tcBorders>
          </w:tcPr>
          <w:p w14:paraId="104F28AD"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Regenerative and Protective Effects on Dental Tissues of a Fluoride–Silicon-Rich Toothpaste Associated with a Calcium Booster: An In Vitro Study</w:t>
            </w:r>
          </w:p>
        </w:tc>
        <w:tc>
          <w:tcPr>
            <w:tcW w:w="2010" w:type="dxa"/>
            <w:gridSpan w:val="2"/>
            <w:tcBorders>
              <w:left w:val="nil"/>
              <w:right w:val="nil"/>
            </w:tcBorders>
          </w:tcPr>
          <w:p w14:paraId="49C3B302"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To characterize the regenerative and protective effects of a fluoride-silicon-rich toothpaste combined with a calcium booster on dental tissues</w:t>
            </w:r>
          </w:p>
        </w:tc>
        <w:tc>
          <w:tcPr>
            <w:tcW w:w="1920" w:type="dxa"/>
            <w:tcBorders>
              <w:left w:val="nil"/>
              <w:right w:val="nil"/>
            </w:tcBorders>
          </w:tcPr>
          <w:p w14:paraId="73B71ECD"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SEM imaging, Energy-Dispersive X-ray Spectroscopy (EDS), Elemental analysis (weight %)</w:t>
            </w:r>
          </w:p>
        </w:tc>
        <w:tc>
          <w:tcPr>
            <w:tcW w:w="1620" w:type="dxa"/>
            <w:tcBorders>
              <w:left w:val="nil"/>
              <w:right w:val="nil"/>
            </w:tcBorders>
          </w:tcPr>
          <w:p w14:paraId="53259ED3"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rPr>
              <w:t xml:space="preserve">SS: 5 bovine enamel and 5 bovine dentin </w:t>
            </w:r>
            <w:proofErr w:type="gramStart"/>
            <w:r w:rsidRPr="007975C4">
              <w:rPr>
                <w:rFonts w:ascii="Palatino Linotype" w:hAnsi="Palatino Linotype"/>
              </w:rPr>
              <w:t>blocks;</w:t>
            </w:r>
            <w:proofErr w:type="gramEnd"/>
            <w:r w:rsidRPr="007975C4">
              <w:rPr>
                <w:rFonts w:ascii="Palatino Linotype" w:hAnsi="Palatino Linotype"/>
              </w:rPr>
              <w:t xml:space="preserve"> </w:t>
            </w:r>
          </w:p>
          <w:p w14:paraId="654AE45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rPr>
            </w:pPr>
            <w:r w:rsidRPr="007975C4">
              <w:rPr>
                <w:rFonts w:ascii="Palatino Linotype" w:hAnsi="Palatino Linotype"/>
              </w:rPr>
              <w:t>FU: Immediate and after 5 days</w:t>
            </w:r>
          </w:p>
        </w:tc>
        <w:tc>
          <w:tcPr>
            <w:tcW w:w="1695" w:type="dxa"/>
            <w:tcBorders>
              <w:left w:val="nil"/>
              <w:right w:val="nil"/>
            </w:tcBorders>
          </w:tcPr>
          <w:p w14:paraId="05268F5D"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Fluoride-silicon-rich toothpaste with calcium booster - REFIX technology</w:t>
            </w:r>
          </w:p>
        </w:tc>
        <w:tc>
          <w:tcPr>
            <w:tcW w:w="2070" w:type="dxa"/>
            <w:tcBorders>
              <w:left w:val="nil"/>
              <w:right w:val="nil"/>
            </w:tcBorders>
          </w:tcPr>
          <w:p w14:paraId="33568747"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Sodium Fluoride (1450 ppm), Silicon-rich compounds, Calcium Carbonate, Tricalcium Phosphate</w:t>
            </w:r>
          </w:p>
        </w:tc>
        <w:tc>
          <w:tcPr>
            <w:tcW w:w="2505" w:type="dxa"/>
            <w:tcBorders>
              <w:left w:val="nil"/>
              <w:right w:val="nil"/>
            </w:tcBorders>
          </w:tcPr>
          <w:p w14:paraId="199073E1"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The treatment formed a mineralized layer on enamel and dentin surfaces. After 5 days, the enamel had a 4-5 µm layer and dentin had a 7 µm layer. The calcium and silicon signals increased after immediate treatment, showing significant remineralization and occlusion of dentin tubules.</w:t>
            </w:r>
          </w:p>
        </w:tc>
      </w:tr>
      <w:tr w:rsidR="007975C4" w:rsidRPr="007975C4" w14:paraId="77CC5249" w14:textId="77777777" w:rsidTr="007975C4">
        <w:trPr>
          <w:cantSplit/>
          <w:trHeight w:val="6835"/>
          <w:tblHeader/>
        </w:trPr>
        <w:tc>
          <w:tcPr>
            <w:tcW w:w="1515" w:type="dxa"/>
            <w:tcBorders>
              <w:left w:val="nil"/>
              <w:right w:val="nil"/>
            </w:tcBorders>
          </w:tcPr>
          <w:p w14:paraId="65DCDA5A"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lastRenderedPageBreak/>
              <w:t xml:space="preserve">Athanasiadou </w:t>
            </w:r>
            <w:r w:rsidRPr="007975C4">
              <w:rPr>
                <w:rFonts w:ascii="Palatino Linotype" w:hAnsi="Palatino Linotype"/>
              </w:rPr>
              <w:t>et al.</w:t>
            </w:r>
          </w:p>
          <w:p w14:paraId="64B1AE9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(2024)</w:t>
            </w:r>
          </w:p>
        </w:tc>
        <w:tc>
          <w:tcPr>
            <w:tcW w:w="1590" w:type="dxa"/>
            <w:tcBorders>
              <w:left w:val="nil"/>
              <w:right w:val="nil"/>
            </w:tcBorders>
          </w:tcPr>
          <w:p w14:paraId="0F83FFBF"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Chemical and Ultrastructural Characterization of Dentin</w:t>
            </w:r>
          </w:p>
          <w:p w14:paraId="55F705E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Treated with Remineralizing Dentifrices</w:t>
            </w:r>
          </w:p>
        </w:tc>
        <w:tc>
          <w:tcPr>
            <w:tcW w:w="2010" w:type="dxa"/>
            <w:gridSpan w:val="2"/>
            <w:tcBorders>
              <w:left w:val="nil"/>
              <w:right w:val="nil"/>
            </w:tcBorders>
          </w:tcPr>
          <w:p w14:paraId="17FF44FF"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Investigate dentin chemical and ultrastructural changes upon exposure to remineralizing dentifrices.</w:t>
            </w:r>
          </w:p>
        </w:tc>
        <w:tc>
          <w:tcPr>
            <w:tcW w:w="1920" w:type="dxa"/>
            <w:tcBorders>
              <w:left w:val="nil"/>
              <w:right w:val="nil"/>
            </w:tcBorders>
          </w:tcPr>
          <w:p w14:paraId="3706BC50"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Atomic force microscopy (AFM),</w:t>
            </w:r>
          </w:p>
          <w:p w14:paraId="1873079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p w14:paraId="0FF708C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scanning electron microscopy (SEM) and energy-dispersive X-ray spectroscopy (EDX), transmission</w:t>
            </w:r>
          </w:p>
          <w:p w14:paraId="13182A09"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electron microscopy (TEM) and selected area electron diffraction (SAED).</w:t>
            </w:r>
          </w:p>
        </w:tc>
        <w:tc>
          <w:tcPr>
            <w:tcW w:w="1620" w:type="dxa"/>
            <w:tcBorders>
              <w:left w:val="nil"/>
              <w:right w:val="nil"/>
            </w:tcBorders>
          </w:tcPr>
          <w:p w14:paraId="21116527"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rPr>
              <w:t>12</w:t>
            </w:r>
            <w:r w:rsidRPr="007975C4">
              <w:rPr>
                <w:rFonts w:ascii="Palatino Linotype" w:hAnsi="Palatino Linotype"/>
                <w:color w:val="000000"/>
              </w:rPr>
              <w:t xml:space="preserve"> human dentin blocks (n= 3 per group) </w:t>
            </w:r>
          </w:p>
          <w:p w14:paraId="33624064"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p w14:paraId="5B4D112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14 days of toothbrushing</w:t>
            </w:r>
          </w:p>
        </w:tc>
        <w:tc>
          <w:tcPr>
            <w:tcW w:w="1695" w:type="dxa"/>
            <w:tcBorders>
              <w:left w:val="nil"/>
              <w:right w:val="nil"/>
            </w:tcBorders>
          </w:tcPr>
          <w:p w14:paraId="3697A9F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roofErr w:type="gramStart"/>
            <w:r w:rsidRPr="007975C4">
              <w:rPr>
                <w:rFonts w:ascii="Palatino Linotype" w:hAnsi="Palatino Linotype"/>
                <w:color w:val="000000"/>
              </w:rPr>
              <w:t>REFIX,  REFIX</w:t>
            </w:r>
            <w:proofErr w:type="gramEnd"/>
            <w:r w:rsidRPr="007975C4">
              <w:rPr>
                <w:rFonts w:ascii="Palatino Linotype" w:hAnsi="Palatino Linotype"/>
                <w:color w:val="000000"/>
              </w:rPr>
              <w:t xml:space="preserve"> + Booster and </w:t>
            </w:r>
            <w:proofErr w:type="spellStart"/>
            <w:r w:rsidRPr="007975C4">
              <w:rPr>
                <w:rFonts w:ascii="Palatino Linotype" w:hAnsi="Palatino Linotype"/>
                <w:color w:val="000000"/>
              </w:rPr>
              <w:t>Novamin</w:t>
            </w:r>
            <w:proofErr w:type="spellEnd"/>
            <w:r w:rsidRPr="007975C4">
              <w:rPr>
                <w:rFonts w:ascii="Palatino Linotype" w:hAnsi="Palatino Linotype"/>
                <w:color w:val="000000"/>
              </w:rPr>
              <w:t xml:space="preserve"> </w:t>
            </w:r>
          </w:p>
        </w:tc>
        <w:tc>
          <w:tcPr>
            <w:tcW w:w="2070" w:type="dxa"/>
            <w:tcBorders>
              <w:left w:val="nil"/>
              <w:right w:val="nil"/>
            </w:tcBorders>
          </w:tcPr>
          <w:p w14:paraId="735FFCF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Fluoride sodium, tetrasodium pyrophosphate</w:t>
            </w:r>
          </w:p>
          <w:p w14:paraId="447844DB"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p>
          <w:p w14:paraId="54F65728"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Calcium</w:t>
            </w:r>
          </w:p>
        </w:tc>
        <w:tc>
          <w:tcPr>
            <w:tcW w:w="2505" w:type="dxa"/>
            <w:tcBorders>
              <w:left w:val="nil"/>
              <w:right w:val="nil"/>
            </w:tcBorders>
          </w:tcPr>
          <w:p w14:paraId="097A6BF5"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All evaluated dentifrices led to successful formation of hydroxyapatite and</w:t>
            </w:r>
          </w:p>
          <w:p w14:paraId="388C41FD" w14:textId="77777777" w:rsidR="00CA66A4" w:rsidRPr="007975C4" w:rsidRDefault="00CA66A4" w:rsidP="00F07F0C">
            <w:pPr>
              <w:widowControl w:val="0"/>
              <w:pBdr>
                <w:top w:val="nil"/>
                <w:left w:val="nil"/>
                <w:bottom w:val="nil"/>
                <w:right w:val="nil"/>
                <w:between w:val="nil"/>
              </w:pBdr>
              <w:spacing w:line="240" w:lineRule="auto"/>
              <w:jc w:val="both"/>
              <w:rPr>
                <w:rFonts w:ascii="Palatino Linotype" w:hAnsi="Palatino Linotype"/>
                <w:color w:val="000000"/>
              </w:rPr>
            </w:pPr>
            <w:r w:rsidRPr="007975C4">
              <w:rPr>
                <w:rFonts w:ascii="Palatino Linotype" w:hAnsi="Palatino Linotype"/>
                <w:color w:val="000000"/>
              </w:rPr>
              <w:t>increased dentin stiffness.</w:t>
            </w:r>
          </w:p>
        </w:tc>
      </w:tr>
    </w:tbl>
    <w:p w14:paraId="1A51FB34" w14:textId="77777777" w:rsidR="00242E15" w:rsidRPr="007975C4" w:rsidRDefault="00242E15">
      <w:pPr>
        <w:rPr>
          <w:rFonts w:ascii="Palatino Linotype" w:hAnsi="Palatino Linotype"/>
        </w:rPr>
      </w:pPr>
    </w:p>
    <w:sectPr w:rsidR="00242E15" w:rsidRPr="007975C4" w:rsidSect="00242E15">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Roboto">
    <w:charset w:val="00"/>
    <w:family w:val="auto"/>
    <w:pitch w:val="variable"/>
    <w:sig w:usb0="E0000AFF" w:usb1="5000217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E15"/>
    <w:rsid w:val="001A3F0D"/>
    <w:rsid w:val="00242E15"/>
    <w:rsid w:val="00253F94"/>
    <w:rsid w:val="004E4E40"/>
    <w:rsid w:val="007975C4"/>
    <w:rsid w:val="009050CF"/>
    <w:rsid w:val="00AD7FAC"/>
    <w:rsid w:val="00AE6A4B"/>
    <w:rsid w:val="00CA66A4"/>
    <w:rsid w:val="00FC54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5EA09"/>
  <w15:chartTrackingRefBased/>
  <w15:docId w15:val="{0137A34E-C47A-4B42-B617-4D26DCC52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E15"/>
    <w:pPr>
      <w:spacing w:after="0" w:line="276" w:lineRule="auto"/>
    </w:pPr>
    <w:rPr>
      <w:rFonts w:ascii="Arial" w:eastAsia="Arial" w:hAnsi="Arial" w:cs="Arial"/>
      <w:kern w:val="0"/>
      <w:sz w:val="22"/>
      <w:szCs w:val="22"/>
      <w:lang w:val="en-US" w:eastAsia="pt-BR"/>
      <w14:ligatures w14:val="none"/>
    </w:rPr>
  </w:style>
  <w:style w:type="paragraph" w:styleId="Ttulo1">
    <w:name w:val="heading 1"/>
    <w:basedOn w:val="Normal"/>
    <w:next w:val="Normal"/>
    <w:link w:val="Ttulo1Char"/>
    <w:uiPriority w:val="9"/>
    <w:qFormat/>
    <w:rsid w:val="00242E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242E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242E1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242E1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242E1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242E15"/>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242E15"/>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242E15"/>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242E15"/>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242E15"/>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242E15"/>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242E15"/>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242E15"/>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242E15"/>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242E15"/>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242E15"/>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242E15"/>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242E15"/>
    <w:rPr>
      <w:rFonts w:eastAsiaTheme="majorEastAsia" w:cstheme="majorBidi"/>
      <w:color w:val="272727" w:themeColor="text1" w:themeTint="D8"/>
    </w:rPr>
  </w:style>
  <w:style w:type="paragraph" w:styleId="Ttulo">
    <w:name w:val="Title"/>
    <w:basedOn w:val="Normal"/>
    <w:next w:val="Normal"/>
    <w:link w:val="TtuloChar"/>
    <w:uiPriority w:val="10"/>
    <w:qFormat/>
    <w:rsid w:val="00242E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242E1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242E15"/>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242E15"/>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242E15"/>
    <w:pPr>
      <w:spacing w:before="160"/>
      <w:jc w:val="center"/>
    </w:pPr>
    <w:rPr>
      <w:i/>
      <w:iCs/>
      <w:color w:val="404040" w:themeColor="text1" w:themeTint="BF"/>
    </w:rPr>
  </w:style>
  <w:style w:type="character" w:customStyle="1" w:styleId="CitaoChar">
    <w:name w:val="Citação Char"/>
    <w:basedOn w:val="Fontepargpadro"/>
    <w:link w:val="Citao"/>
    <w:uiPriority w:val="29"/>
    <w:rsid w:val="00242E15"/>
    <w:rPr>
      <w:i/>
      <w:iCs/>
      <w:color w:val="404040" w:themeColor="text1" w:themeTint="BF"/>
    </w:rPr>
  </w:style>
  <w:style w:type="paragraph" w:styleId="PargrafodaLista">
    <w:name w:val="List Paragraph"/>
    <w:basedOn w:val="Normal"/>
    <w:uiPriority w:val="34"/>
    <w:qFormat/>
    <w:rsid w:val="00242E15"/>
    <w:pPr>
      <w:ind w:left="720"/>
      <w:contextualSpacing/>
    </w:pPr>
  </w:style>
  <w:style w:type="character" w:styleId="nfaseIntensa">
    <w:name w:val="Intense Emphasis"/>
    <w:basedOn w:val="Fontepargpadro"/>
    <w:uiPriority w:val="21"/>
    <w:qFormat/>
    <w:rsid w:val="00242E15"/>
    <w:rPr>
      <w:i/>
      <w:iCs/>
      <w:color w:val="0F4761" w:themeColor="accent1" w:themeShade="BF"/>
    </w:rPr>
  </w:style>
  <w:style w:type="paragraph" w:styleId="CitaoIntensa">
    <w:name w:val="Intense Quote"/>
    <w:basedOn w:val="Normal"/>
    <w:next w:val="Normal"/>
    <w:link w:val="CitaoIntensaChar"/>
    <w:uiPriority w:val="30"/>
    <w:qFormat/>
    <w:rsid w:val="00242E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242E15"/>
    <w:rPr>
      <w:i/>
      <w:iCs/>
      <w:color w:val="0F4761" w:themeColor="accent1" w:themeShade="BF"/>
    </w:rPr>
  </w:style>
  <w:style w:type="character" w:styleId="RefernciaIntensa">
    <w:name w:val="Intense Reference"/>
    <w:basedOn w:val="Fontepargpadro"/>
    <w:uiPriority w:val="32"/>
    <w:qFormat/>
    <w:rsid w:val="00242E15"/>
    <w:rPr>
      <w:b/>
      <w:bCs/>
      <w:smallCaps/>
      <w:color w:val="0F4761" w:themeColor="accent1" w:themeShade="BF"/>
      <w:spacing w:val="5"/>
    </w:rPr>
  </w:style>
  <w:style w:type="character" w:styleId="Hyperlink">
    <w:name w:val="Hyperlink"/>
    <w:basedOn w:val="Fontepargpadro"/>
    <w:uiPriority w:val="99"/>
    <w:unhideWhenUsed/>
    <w:rsid w:val="00253F94"/>
    <w:rPr>
      <w:color w:val="467886" w:themeColor="hyperlink"/>
      <w:u w:val="single"/>
    </w:rPr>
  </w:style>
  <w:style w:type="character" w:styleId="MenoPendente">
    <w:name w:val="Unresolved Mention"/>
    <w:basedOn w:val="Fontepargpadro"/>
    <w:uiPriority w:val="99"/>
    <w:semiHidden/>
    <w:unhideWhenUsed/>
    <w:rsid w:val="00253F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1930</Words>
  <Characters>10423</Characters>
  <Application>Microsoft Office Word</Application>
  <DocSecurity>0</DocSecurity>
  <Lines>86</Lines>
  <Paragraphs>24</Paragraphs>
  <ScaleCrop>false</ScaleCrop>
  <Company/>
  <LinksUpToDate>false</LinksUpToDate>
  <CharactersWithSpaces>12329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Nayanna Fernandes</dc:creator>
  <cp:keywords/>
  <dc:description/>
  <cp:lastModifiedBy>Fabio Sampaio</cp:lastModifiedBy>
  <cp:revision>7</cp:revision>
  <dcterms:created xsi:type="dcterms:W3CDTF">2024-08-10T18:00:00Z</dcterms:created>
  <dcterms:modified xsi:type="dcterms:W3CDTF">2024-08-16T01:14:00Z</dcterms:modified>
</cp:coreProperties>
</file>